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208EC3C6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  <w:lang w:val="en-US"/>
        </w:rPr>
      </w:pPr>
      <w:r w:rsidRPr="0017233E">
        <w:rPr>
          <w:rFonts w:ascii="Sylfaen" w:eastAsia="Calibri" w:hAnsi="Sylfaen" w:cs="Times New Roman"/>
          <w:noProof/>
          <w:sz w:val="22"/>
          <w:lang w:eastAsia="ru-RU"/>
        </w:rPr>
        <w:drawing>
          <wp:inline distT="0" distB="0" distL="0" distR="0" wp14:anchorId="7239675F" wp14:editId="1F3FAAA3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508F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10"/>
          <w:szCs w:val="10"/>
          <w:lang w:val="en-US"/>
        </w:rPr>
      </w:pPr>
    </w:p>
    <w:p w14:paraId="3A943852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6"/>
          <w:szCs w:val="26"/>
        </w:rPr>
      </w:pPr>
      <w:r w:rsidRPr="0017233E">
        <w:rPr>
          <w:rFonts w:ascii="Sylfaen" w:eastAsia="Calibri" w:hAnsi="Sylfaen" w:cs="Times New Roman"/>
          <w:noProof/>
          <w:sz w:val="26"/>
          <w:szCs w:val="26"/>
        </w:rPr>
        <w:t>АДМИНИСТРАЦИЯ ГОРОДСКОГО ОКРУГА КАШИРА</w:t>
      </w:r>
    </w:p>
    <w:p w14:paraId="6341685F" w14:textId="77777777" w:rsidR="0017233E" w:rsidRPr="0017233E" w:rsidRDefault="0017233E" w:rsidP="0017233E">
      <w:pPr>
        <w:ind w:right="849"/>
        <w:jc w:val="center"/>
        <w:rPr>
          <w:rFonts w:ascii="Sylfaen" w:eastAsia="Calibri" w:hAnsi="Sylfaen" w:cs="Times New Roman"/>
          <w:b/>
          <w:sz w:val="32"/>
          <w:szCs w:val="32"/>
        </w:rPr>
      </w:pPr>
      <w:r w:rsidRPr="0017233E">
        <w:rPr>
          <w:rFonts w:ascii="Sylfaen" w:eastAsia="Calibri" w:hAnsi="Sylfaen" w:cs="Times New Roman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7233E" w:rsidRPr="0017233E" w14:paraId="36AFCE4F" w14:textId="77777777" w:rsidTr="003D57A5">
        <w:tc>
          <w:tcPr>
            <w:tcW w:w="2409" w:type="dxa"/>
          </w:tcPr>
          <w:p w14:paraId="5F4DE265" w14:textId="42B65ABB" w:rsidR="0017233E" w:rsidRPr="0017233E" w:rsidRDefault="00A30C06" w:rsidP="0017233E">
            <w:pPr>
              <w:ind w:firstLine="317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16.07.2026</w:t>
            </w:r>
          </w:p>
        </w:tc>
        <w:tc>
          <w:tcPr>
            <w:tcW w:w="567" w:type="dxa"/>
            <w:hideMark/>
          </w:tcPr>
          <w:p w14:paraId="49F32D62" w14:textId="77777777" w:rsidR="0017233E" w:rsidRPr="0017233E" w:rsidRDefault="0017233E" w:rsidP="0017233E">
            <w:pPr>
              <w:ind w:right="51"/>
              <w:jc w:val="center"/>
              <w:rPr>
                <w:rFonts w:ascii="Sylfaen" w:eastAsia="Calibri" w:hAnsi="Sylfaen" w:cs="Times New Roman"/>
                <w:noProof/>
                <w:sz w:val="22"/>
              </w:rPr>
            </w:pPr>
            <w:r w:rsidRPr="0017233E">
              <w:rPr>
                <w:rFonts w:ascii="Sylfaen" w:eastAsia="Calibri" w:hAnsi="Sylfaen" w:cs="Times New Roman"/>
                <w:noProof/>
                <w:sz w:val="22"/>
                <w:lang w:val="en-US"/>
              </w:rPr>
              <w:t>No</w:t>
            </w:r>
            <w:r w:rsidRPr="0017233E">
              <w:rPr>
                <w:rFonts w:ascii="Sylfaen" w:eastAsia="Calibri" w:hAnsi="Sylfaen" w:cs="Times New Roman"/>
                <w:noProof/>
                <w:sz w:val="22"/>
              </w:rPr>
              <w:t xml:space="preserve"> </w:t>
            </w:r>
          </w:p>
        </w:tc>
        <w:tc>
          <w:tcPr>
            <w:tcW w:w="2338" w:type="dxa"/>
          </w:tcPr>
          <w:p w14:paraId="1120E9A3" w14:textId="5B9B385A" w:rsidR="0017233E" w:rsidRPr="0017233E" w:rsidRDefault="00A30C06" w:rsidP="0017233E">
            <w:pPr>
              <w:ind w:firstLine="176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1498-па</w:t>
            </w:r>
          </w:p>
        </w:tc>
      </w:tr>
    </w:tbl>
    <w:p w14:paraId="118A7A1A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6"/>
          <w:szCs w:val="6"/>
          <w:lang w:eastAsia="ru-RU"/>
        </w:rPr>
      </w:pPr>
      <w:r w:rsidRPr="0017233E">
        <w:rPr>
          <w:rFonts w:ascii="Sylfaen" w:eastAsia="Calibri" w:hAnsi="Sylfaen" w:cs="Times New Roman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087B0347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</w:rPr>
      </w:pPr>
      <w:r w:rsidRPr="0017233E">
        <w:rPr>
          <w:rFonts w:ascii="Sylfaen" w:eastAsia="Calibri" w:hAnsi="Sylfaen" w:cs="Times New Roman"/>
          <w:noProof/>
          <w:sz w:val="22"/>
        </w:rPr>
        <w:t>Кашира</w:t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106"/>
      </w:tblGrid>
      <w:tr w:rsidR="0042635C" w:rsidRPr="0042635C" w14:paraId="24FFF21C" w14:textId="77777777" w:rsidTr="0042635C">
        <w:tc>
          <w:tcPr>
            <w:tcW w:w="10171" w:type="dxa"/>
          </w:tcPr>
          <w:p w14:paraId="53C8030F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r w:rsidRPr="0042635C">
              <w:rPr>
                <w:rFonts w:eastAsia="Calibri" w:cs="Times New Roman"/>
                <w:szCs w:val="28"/>
              </w:rPr>
              <w:t xml:space="preserve">внесении изменений в постановление </w:t>
            </w:r>
          </w:p>
          <w:p w14:paraId="3B2A48A4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 xml:space="preserve">администрации городского округа Кашира </w:t>
            </w:r>
          </w:p>
          <w:p w14:paraId="60318E86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>от 31.10.2019 № 3253-па «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Об утверждении </w:t>
            </w:r>
          </w:p>
          <w:p w14:paraId="68358770" w14:textId="77777777" w:rsidR="0042635C" w:rsidRPr="0042635C" w:rsidRDefault="0042635C" w:rsidP="0042635C">
            <w:pPr>
              <w:jc w:val="both"/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муниципальной программы</w:t>
            </w:r>
            <w:r w:rsidRPr="0042635C">
              <w:rPr>
                <w:rFonts w:eastAsia="Calibri" w:cs="Times New Roman"/>
                <w:szCs w:val="28"/>
              </w:rPr>
              <w:t xml:space="preserve"> 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«Переселение </w:t>
            </w:r>
          </w:p>
          <w:p w14:paraId="6899CEF1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граждан из аварийного жилищного фонда»</w:t>
            </w:r>
          </w:p>
          <w:p w14:paraId="6FA4EC08" w14:textId="77777777" w:rsidR="0042635C" w:rsidRPr="0042635C" w:rsidRDefault="0042635C" w:rsidP="0042635C">
            <w:pPr>
              <w:ind w:left="34" w:hanging="34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14:paraId="09F7D1C0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0336615C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5841B926" w14:textId="77777777" w:rsidR="0042635C" w:rsidRPr="0042635C" w:rsidRDefault="0042635C" w:rsidP="0042635C">
      <w:pPr>
        <w:rPr>
          <w:rFonts w:eastAsia="Calibri" w:cs="Times New Roman"/>
          <w:szCs w:val="28"/>
        </w:rPr>
      </w:pPr>
    </w:p>
    <w:p w14:paraId="6C68BF85" w14:textId="77777777" w:rsidR="0042635C" w:rsidRPr="0042635C" w:rsidRDefault="0042635C" w:rsidP="0042635C">
      <w:pPr>
        <w:jc w:val="center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ПОСТАНОВЛЯЮ:</w:t>
      </w:r>
    </w:p>
    <w:p w14:paraId="0988448F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4BBAE35C" w14:textId="47FE7CAD" w:rsidR="0042635C" w:rsidRPr="0042635C" w:rsidRDefault="0042635C" w:rsidP="0042635C">
      <w:pPr>
        <w:ind w:firstLine="851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1. Внести в муниципальную программу «</w:t>
      </w:r>
      <w:r w:rsidRPr="0042635C">
        <w:rPr>
          <w:rFonts w:eastAsia="Calibri" w:cs="Times New Roman"/>
          <w:szCs w:val="28"/>
          <w:lang w:eastAsia="ar-SA"/>
        </w:rPr>
        <w:t>Переселение граждан из аварийного жилищного фонда</w:t>
      </w:r>
      <w:r w:rsidRPr="0042635C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 w:rsidRPr="0042635C">
        <w:rPr>
          <w:rFonts w:eastAsia="Calibri" w:cs="Times New Roman"/>
          <w:szCs w:val="28"/>
        </w:rPr>
        <w:br/>
        <w:t xml:space="preserve">№ 1536-па; от 13.11.2020 № 2470-па; от 30.12.2020 №3018-па; </w:t>
      </w:r>
      <w:r w:rsidRPr="0042635C">
        <w:rPr>
          <w:rFonts w:eastAsia="Calibri" w:cs="Times New Roman"/>
          <w:szCs w:val="28"/>
        </w:rPr>
        <w:br/>
        <w:t xml:space="preserve">от 14.04.2021 № 975-па; от 02.06.2021 № 1387-па; от 06.08.2021 </w:t>
      </w:r>
      <w:r w:rsidRPr="0042635C">
        <w:rPr>
          <w:rFonts w:eastAsia="Calibri" w:cs="Times New Roman"/>
          <w:szCs w:val="28"/>
        </w:rPr>
        <w:br/>
        <w:t xml:space="preserve">№  2072-па; от 26.10.2021 № 2813; от 30.12.2021 № 3542-па; от 26.12.2023 № 3394-па; от 29.12.2023 № 3504-па; от 20.05.2024 № 1052-па; </w:t>
      </w:r>
      <w:r w:rsidRPr="0042635C">
        <w:rPr>
          <w:rFonts w:eastAsia="Calibri" w:cs="Times New Roman"/>
          <w:szCs w:val="28"/>
        </w:rPr>
        <w:br/>
        <w:t xml:space="preserve">от 01.07.2024 № 1430-па; от 08.10.2024 № 2277-па; от 13.11.2024 </w:t>
      </w:r>
      <w:r w:rsidRPr="0042635C">
        <w:rPr>
          <w:rFonts w:eastAsia="Calibri" w:cs="Times New Roman"/>
          <w:szCs w:val="28"/>
        </w:rPr>
        <w:br/>
        <w:t xml:space="preserve">№ 2587-па, от 28.12.2024 № 3129-па; от 28.12.2024 № 3153-па, </w:t>
      </w:r>
      <w:r w:rsidRPr="0042635C">
        <w:rPr>
          <w:rFonts w:eastAsia="Calibri" w:cs="Times New Roman"/>
          <w:szCs w:val="28"/>
        </w:rPr>
        <w:br/>
        <w:t xml:space="preserve">от 28.12.2024 № 3155-па, от 21.03.2025 № 643-па; от 04.04.2025 </w:t>
      </w:r>
      <w:r w:rsidRPr="0042635C">
        <w:rPr>
          <w:rFonts w:eastAsia="Calibri" w:cs="Times New Roman"/>
          <w:szCs w:val="28"/>
        </w:rPr>
        <w:br/>
        <w:t xml:space="preserve">№ 761-па; от 18.06.2025 № 1427-па; от 01.07.2025 № 1543-па; от 29.07.2025 </w:t>
      </w:r>
      <w:r w:rsidRPr="0042635C">
        <w:rPr>
          <w:rFonts w:eastAsia="Calibri" w:cs="Times New Roman"/>
          <w:szCs w:val="28"/>
        </w:rPr>
        <w:br/>
        <w:t xml:space="preserve">№ 1810-па; от 15.10.2025 № 2573-па; от 19.12.2025 № 3177-па; </w:t>
      </w:r>
      <w:r w:rsidRPr="0042635C">
        <w:rPr>
          <w:rFonts w:eastAsia="Calibri" w:cs="Times New Roman"/>
          <w:szCs w:val="28"/>
        </w:rPr>
        <w:br/>
        <w:t>от 30.12.2025 № 3345-па</w:t>
      </w:r>
      <w:r>
        <w:rPr>
          <w:rFonts w:eastAsia="Calibri" w:cs="Times New Roman"/>
          <w:szCs w:val="28"/>
        </w:rPr>
        <w:t>; от 30.12.2025 № 3352-па</w:t>
      </w:r>
      <w:r w:rsidR="00F05EC6">
        <w:rPr>
          <w:rFonts w:eastAsia="Calibri" w:cs="Times New Roman"/>
          <w:szCs w:val="28"/>
        </w:rPr>
        <w:t xml:space="preserve">; от 30.12.2025 </w:t>
      </w:r>
      <w:r w:rsidR="00F05EC6">
        <w:rPr>
          <w:rFonts w:eastAsia="Calibri" w:cs="Times New Roman"/>
          <w:szCs w:val="28"/>
        </w:rPr>
        <w:br/>
        <w:t>№ 3360-па</w:t>
      </w:r>
      <w:r w:rsidR="00472503">
        <w:rPr>
          <w:rFonts w:eastAsia="Calibri" w:cs="Times New Roman"/>
          <w:szCs w:val="28"/>
        </w:rPr>
        <w:t>; от 02.03.2026 № 285-па</w:t>
      </w:r>
      <w:r w:rsidR="00733D9A">
        <w:rPr>
          <w:rFonts w:eastAsia="Calibri" w:cs="Times New Roman"/>
          <w:szCs w:val="28"/>
        </w:rPr>
        <w:t>; 08.05.2026 № 886-па</w:t>
      </w:r>
      <w:r w:rsidR="000D573D">
        <w:rPr>
          <w:rFonts w:eastAsia="Calibri" w:cs="Times New Roman"/>
          <w:szCs w:val="28"/>
        </w:rPr>
        <w:t xml:space="preserve">; от 23.06.2026 </w:t>
      </w:r>
      <w:r w:rsidR="00A15AF2">
        <w:rPr>
          <w:rFonts w:eastAsia="Calibri" w:cs="Times New Roman"/>
          <w:szCs w:val="28"/>
        </w:rPr>
        <w:br/>
      </w:r>
      <w:r w:rsidR="000D573D">
        <w:rPr>
          <w:rFonts w:eastAsia="Calibri" w:cs="Times New Roman"/>
          <w:szCs w:val="28"/>
        </w:rPr>
        <w:t>№ 1265-па</w:t>
      </w:r>
      <w:r w:rsidR="00CC4118">
        <w:rPr>
          <w:rFonts w:eastAsia="Calibri" w:cs="Times New Roman"/>
          <w:szCs w:val="28"/>
        </w:rPr>
        <w:t>) (далее - Программа)</w:t>
      </w:r>
      <w:r w:rsidRPr="0042635C">
        <w:rPr>
          <w:rFonts w:eastAsia="Calibri" w:cs="Times New Roman"/>
          <w:szCs w:val="28"/>
        </w:rPr>
        <w:t xml:space="preserve"> следующие изменения:</w:t>
      </w:r>
    </w:p>
    <w:p w14:paraId="5BB13037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lastRenderedPageBreak/>
        <w:t>1.1. Паспорт Программы изложить в редакции согласно приложению  № 1 к настоящему постановлению.</w:t>
      </w:r>
    </w:p>
    <w:p w14:paraId="7636C5B5" w14:textId="253064CB" w:rsidR="000D573D" w:rsidRDefault="000D573D" w:rsidP="000D573D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1.2. </w:t>
      </w:r>
      <w:r>
        <w:rPr>
          <w:rFonts w:eastAsia="Calibri" w:cs="Times New Roman"/>
          <w:szCs w:val="28"/>
        </w:rPr>
        <w:t xml:space="preserve">Планируемые результаты реализации муниципальной программы «Переселение граждан из аварийного жилищного фонда» </w:t>
      </w:r>
      <w:r w:rsidRPr="0042635C">
        <w:rPr>
          <w:rFonts w:eastAsia="Calibri" w:cs="Times New Roman"/>
          <w:szCs w:val="28"/>
        </w:rPr>
        <w:t xml:space="preserve">изложить в редакции, согласно приложению № 2 </w:t>
      </w:r>
      <w:r w:rsidR="009903F0"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</w:rPr>
        <w:t>к настоящему постановлению.</w:t>
      </w:r>
    </w:p>
    <w:p w14:paraId="2E4BAB57" w14:textId="796FF57E" w:rsidR="000D573D" w:rsidRDefault="00CA75FD" w:rsidP="000D573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1.3. Методику</w:t>
      </w:r>
      <w:r w:rsidR="000D573D">
        <w:rPr>
          <w:rFonts w:eastAsia="Calibri" w:cs="Times New Roman"/>
          <w:szCs w:val="28"/>
        </w:rPr>
        <w:t xml:space="preserve"> расчета значений планируемых результатов реализации муниципальной программы «Переселение граждан </w:t>
      </w:r>
      <w:r w:rsidR="000D573D">
        <w:rPr>
          <w:rFonts w:eastAsia="Calibri" w:cs="Times New Roman"/>
          <w:szCs w:val="28"/>
        </w:rPr>
        <w:br/>
        <w:t xml:space="preserve">из аварийного жилищного фонда» </w:t>
      </w:r>
      <w:r w:rsidR="000D573D" w:rsidRPr="0042635C">
        <w:rPr>
          <w:rFonts w:eastAsia="Calibri" w:cs="Times New Roman"/>
          <w:szCs w:val="28"/>
        </w:rPr>
        <w:t xml:space="preserve">изложить в редакции, согласно приложению № </w:t>
      </w:r>
      <w:r w:rsidR="000D573D">
        <w:rPr>
          <w:rFonts w:eastAsia="Calibri" w:cs="Times New Roman"/>
          <w:szCs w:val="28"/>
        </w:rPr>
        <w:t>3</w:t>
      </w:r>
      <w:r w:rsidR="000D573D" w:rsidRPr="0042635C">
        <w:rPr>
          <w:rFonts w:eastAsia="Calibri" w:cs="Times New Roman"/>
          <w:szCs w:val="28"/>
        </w:rPr>
        <w:t xml:space="preserve"> к настоящему постановлению.</w:t>
      </w:r>
    </w:p>
    <w:p w14:paraId="27F8E261" w14:textId="4D7ABED6" w:rsidR="000D573D" w:rsidRPr="0042635C" w:rsidRDefault="000D573D" w:rsidP="000D573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1.4. </w:t>
      </w:r>
      <w:r w:rsidRPr="0042635C">
        <w:rPr>
          <w:rFonts w:eastAsia="Calibri" w:cs="Times New Roman"/>
          <w:szCs w:val="28"/>
        </w:rPr>
        <w:t xml:space="preserve">Перечень мероприятий </w:t>
      </w:r>
      <w:r w:rsidR="0096045C" w:rsidRPr="0096045C">
        <w:rPr>
          <w:rFonts w:eastAsia="Times New Roman" w:cs="Times New Roman"/>
          <w:szCs w:val="28"/>
        </w:rPr>
        <w:t xml:space="preserve">Подпрограммы 5 </w:t>
      </w:r>
      <w:r w:rsidR="0096045C" w:rsidRPr="0096045C">
        <w:rPr>
          <w:rFonts w:eastAsia="Times New Roman" w:cs="Times New Roman"/>
          <w:szCs w:val="28"/>
          <w:lang w:eastAsia="ru-RU"/>
        </w:rPr>
        <w:t>«Обеспечение мероприятий по переселению граждан из непригодного для проживания жилищного фонда»</w:t>
      </w:r>
      <w:r w:rsidRPr="0096045C"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</w:rPr>
        <w:t xml:space="preserve">Программы изложить в редакции, согласно приложению № </w:t>
      </w:r>
      <w:r>
        <w:rPr>
          <w:rFonts w:eastAsia="Calibri" w:cs="Times New Roman"/>
          <w:szCs w:val="28"/>
        </w:rPr>
        <w:t>4</w:t>
      </w:r>
      <w:r w:rsidRPr="0042635C">
        <w:rPr>
          <w:rFonts w:eastAsia="Calibri" w:cs="Times New Roman"/>
          <w:szCs w:val="28"/>
        </w:rPr>
        <w:t xml:space="preserve"> к настоящему постановлению. </w:t>
      </w:r>
    </w:p>
    <w:p w14:paraId="0CB7E253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2. Настоящее постановление вступает в силу после официального опубликования.</w:t>
      </w:r>
    </w:p>
    <w:p w14:paraId="05723384" w14:textId="77777777" w:rsidR="0042635C" w:rsidRPr="0042635C" w:rsidRDefault="0042635C" w:rsidP="0042635C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3. Муниципальному казенному учреждению «Центр обслуживания» городского округа Кашира разместить настоящее постановление </w:t>
      </w:r>
      <w:r w:rsidRPr="0042635C">
        <w:rPr>
          <w:rFonts w:eastAsia="Calibri" w:cs="Times New Roman"/>
          <w:szCs w:val="28"/>
        </w:rPr>
        <w:br/>
        <w:t xml:space="preserve">на официальном сайте Администрации городского округа Кашира в сети «Интернет». </w:t>
      </w:r>
    </w:p>
    <w:p w14:paraId="0BC92BC3" w14:textId="7F6608DE" w:rsidR="00796FFB" w:rsidRPr="00796FFB" w:rsidRDefault="00796FFB" w:rsidP="00796FFB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6FFB">
        <w:rPr>
          <w:rFonts w:eastAsia="Calibri" w:cs="Times New Roman"/>
          <w:szCs w:val="28"/>
        </w:rPr>
        <w:t>4.</w:t>
      </w:r>
      <w:r w:rsidRPr="00796FFB">
        <w:rPr>
          <w:rFonts w:eastAsia="Calibri" w:cs="Times New Roman"/>
          <w:szCs w:val="28"/>
        </w:rPr>
        <w:tab/>
        <w:t>Контроль за исполнением настоящего постановления возложить на первого заместителя главы городского округа Кашира Ананкину Ю.А.</w:t>
      </w:r>
    </w:p>
    <w:p w14:paraId="3FA09F8C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1015912F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266F6AF4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7283"/>
        <w:gridCol w:w="2498"/>
      </w:tblGrid>
      <w:tr w:rsidR="00796FFB" w:rsidRPr="00796FFB" w14:paraId="4934FBBB" w14:textId="77777777" w:rsidTr="008F7DB5">
        <w:trPr>
          <w:trHeight w:val="561"/>
        </w:trPr>
        <w:tc>
          <w:tcPr>
            <w:tcW w:w="7283" w:type="dxa"/>
          </w:tcPr>
          <w:p w14:paraId="1B66D2EF" w14:textId="77777777" w:rsidR="00796FFB" w:rsidRPr="00796FFB" w:rsidRDefault="00796FFB" w:rsidP="00796FFB">
            <w:pPr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Глава городского округа Кашира</w:t>
            </w:r>
          </w:p>
        </w:tc>
        <w:tc>
          <w:tcPr>
            <w:tcW w:w="2498" w:type="dxa"/>
          </w:tcPr>
          <w:p w14:paraId="52B6C874" w14:textId="77777777" w:rsidR="00796FFB" w:rsidRPr="00796FFB" w:rsidRDefault="00796FFB" w:rsidP="00796FFB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 Р.А. Пичугин</w:t>
            </w:r>
          </w:p>
        </w:tc>
      </w:tr>
    </w:tbl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421025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D7DD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7539FB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DCBA5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E688B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84CF1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C9FAD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8969FC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7CF07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5219DC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AFD7D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5F8B53E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14DC657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BEE800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D70D29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20AA78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38AFDC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3BF64D6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8C3E62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420AD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BFAD303" w14:textId="77777777" w:rsidR="000E107A" w:rsidRDefault="000E107A" w:rsidP="000D573D">
      <w:pPr>
        <w:rPr>
          <w:rFonts w:eastAsia="Calibri" w:cs="Times New Roman"/>
          <w:sz w:val="24"/>
          <w:szCs w:val="24"/>
        </w:rPr>
        <w:sectPr w:rsidR="000E107A" w:rsidSect="0042635C">
          <w:headerReference w:type="first" r:id="rId9"/>
          <w:pgSz w:w="11906" w:h="16838"/>
          <w:pgMar w:top="1134" w:right="849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2A516812" w14:textId="5097D78D" w:rsidR="00A30C06" w:rsidRDefault="00A30C06" w:rsidP="00C9265F">
      <w:pPr>
        <w:ind w:firstLine="1134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16.07.2026 № 1498-па</w:t>
      </w: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276"/>
        <w:gridCol w:w="1134"/>
        <w:gridCol w:w="1134"/>
        <w:gridCol w:w="1417"/>
        <w:gridCol w:w="1418"/>
        <w:gridCol w:w="1417"/>
        <w:gridCol w:w="1205"/>
        <w:gridCol w:w="1063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1B7BF29C" w:rsidR="00C20309" w:rsidRPr="003C0C32" w:rsidRDefault="00AE4E11" w:rsidP="00462A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Первый з</w:t>
            </w:r>
            <w:r w:rsidR="00462A90">
              <w:rPr>
                <w:rFonts w:eastAsia="Calibri" w:cs="Times New Roman"/>
                <w:sz w:val="22"/>
              </w:rPr>
              <w:t>аместитель</w:t>
            </w:r>
            <w:r w:rsidR="003C0C32" w:rsidRPr="003C0C32">
              <w:rPr>
                <w:rFonts w:eastAsia="Calibri" w:cs="Times New Roman"/>
                <w:sz w:val="22"/>
              </w:rPr>
              <w:t xml:space="preserve">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</w:t>
            </w:r>
            <w:r w:rsidR="003D57A5">
              <w:rPr>
                <w:rFonts w:eastAsia="Calibri" w:cs="Times New Roman"/>
                <w:sz w:val="22"/>
              </w:rPr>
              <w:t>- Ю.А. Ананкина</w:t>
            </w:r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Создание безопасных и благоприятных условий проживания граждан и внедрение ресурсосберегающих, энергоэффективных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720B64B" w14:textId="77777777" w:rsidR="00B3267B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  <w:p w14:paraId="1643A6B5" w14:textId="3A166D65" w:rsidR="0042635C" w:rsidRPr="000D573D" w:rsidRDefault="000D573D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0D573D">
              <w:rPr>
                <w:rFonts w:eastAsia="Times New Roman" w:cs="Times New Roman"/>
                <w:sz w:val="22"/>
              </w:rPr>
              <w:t>Подпрограмма 5 «</w:t>
            </w:r>
            <w:r w:rsidRPr="000D573D">
              <w:rPr>
                <w:rFonts w:eastAsia="Times New Roman" w:cs="Times New Roman"/>
                <w:sz w:val="22"/>
                <w:lang w:eastAsia="ru-RU"/>
              </w:rPr>
              <w:t>Обеспечение мероприятий по переселению граждан из непригодного для проживания жилищного фонда»</w:t>
            </w: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AE4E11" w:rsidRPr="00A73F53" w14:paraId="67B69173" w14:textId="77777777" w:rsidTr="00AE4E11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3DFE7" w14:textId="77777777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BCE2DD4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2028 год</w:t>
            </w:r>
          </w:p>
        </w:tc>
      </w:tr>
      <w:tr w:rsidR="00402704" w:rsidRPr="00A73F53" w14:paraId="5206A451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BE1" w14:textId="6C542C8E" w:rsidR="00402704" w:rsidRPr="00D8316F" w:rsidRDefault="00FA1121" w:rsidP="00394C7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2 424 649,80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231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C6D5F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C9353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CD1BD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6F96E" w14:textId="3A9C47F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798 352,6</w:t>
            </w:r>
            <w:r w:rsidR="007A6589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BCC87" w14:textId="63010E47" w:rsidR="00402704" w:rsidRPr="00C12AFC" w:rsidRDefault="00FA1121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266 733,08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006E" w14:textId="5F27F6FC" w:rsidR="00402704" w:rsidRPr="00D61D9F" w:rsidRDefault="00FA1121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945 083,01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2092C" w14:textId="4C6D7071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158 540,1</w:t>
            </w:r>
            <w:r w:rsidR="00C66049">
              <w:rPr>
                <w:rFonts w:cs="Times New Roman"/>
                <w:sz w:val="22"/>
              </w:rPr>
              <w:t>2</w:t>
            </w:r>
          </w:p>
        </w:tc>
      </w:tr>
      <w:tr w:rsidR="00402704" w:rsidRPr="00A73F53" w14:paraId="790A132F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48C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B43A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EA9D1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9C7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FEC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B5193" w14:textId="576C66FB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0,0</w:t>
            </w:r>
            <w:r w:rsidRPr="0000726A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578F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C055B" w14:textId="77777777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DF419" w14:textId="1B9D8AEB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676E8928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402704" w:rsidRPr="00A73F53" w:rsidRDefault="00402704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3926" w14:textId="1779A297" w:rsidR="00402704" w:rsidRPr="00D8316F" w:rsidRDefault="00FA1121" w:rsidP="0073195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786 792,62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52B2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4D0B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868CE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97CA1" w14:textId="77777777" w:rsidR="00402704" w:rsidRPr="000A6CB8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0581" w14:textId="3CBD4DCC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171 090,0</w:t>
            </w:r>
            <w:r w:rsidR="007A65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2F79C" w14:textId="504A673B" w:rsidR="00402704" w:rsidRPr="0017233E" w:rsidRDefault="00FA1121" w:rsidP="00002D8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134 129,35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D73E7" w14:textId="6EFF7BFE" w:rsidR="00402704" w:rsidRPr="00D61D9F" w:rsidRDefault="00FA1121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218 205,51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1FC07" w14:textId="3EE5EDA5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152 483,0</w:t>
            </w:r>
            <w:r w:rsidR="00C66049">
              <w:rPr>
                <w:rFonts w:cs="Times New Roman"/>
                <w:sz w:val="22"/>
              </w:rPr>
              <w:t>8</w:t>
            </w:r>
          </w:p>
        </w:tc>
      </w:tr>
      <w:tr w:rsidR="00402704" w:rsidRPr="00A73F53" w14:paraId="36D20323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473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AF0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12F16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81CA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045AD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DE638" w14:textId="6835DC3C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 w:rsidRPr="00262CDD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5F399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6ADF7" w14:textId="77777777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EF4CB" w14:textId="0D1E0469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3702AA7B" w14:textId="77777777" w:rsidTr="00AE4E1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E5C" w14:textId="3873477A" w:rsidR="00402704" w:rsidRPr="00D8316F" w:rsidRDefault="00FA1121" w:rsidP="006B785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3 215 393,22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CD0AC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E3D10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95BD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1674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47B0" w14:textId="6F5CD4B4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969 442,70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A2C30" w14:textId="15B35416" w:rsidR="00402704" w:rsidRPr="00C12AFC" w:rsidRDefault="00FA1121" w:rsidP="0040270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400 862,43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D5E10" w14:textId="5253EAE9" w:rsidR="00402704" w:rsidRPr="00D61D9F" w:rsidRDefault="00FA1121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1 163 288,52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1404" w14:textId="24AA2B9A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311 023,2</w:t>
            </w:r>
            <w:r w:rsidR="00C66049">
              <w:rPr>
                <w:rFonts w:cs="Times New Roman"/>
                <w:sz w:val="22"/>
              </w:rPr>
              <w:t>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FD5359">
      <w:pPr>
        <w:pStyle w:val="ConsPlusNormal"/>
        <w:rPr>
          <w:rFonts w:ascii="Times New Roman" w:hAnsi="Times New Roman" w:cs="Times New Roman"/>
        </w:rPr>
      </w:pPr>
    </w:p>
    <w:p w14:paraId="0569C359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Приложение 2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577DE1C" w14:textId="77777777" w:rsidR="00A61D8D" w:rsidRPr="00EC6A69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290BB87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F0EADC8" w14:textId="412A5A12" w:rsidR="00A30C06" w:rsidRDefault="00A30C06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16.07.2026 № 1498-па</w:t>
      </w:r>
    </w:p>
    <w:p w14:paraId="031F6CBD" w14:textId="2BB645F3" w:rsidR="00F05E50" w:rsidRDefault="00F05E50" w:rsidP="00FD5359">
      <w:pPr>
        <w:rPr>
          <w:rFonts w:eastAsia="Calibri" w:cs="Times New Roman"/>
          <w:sz w:val="24"/>
          <w:szCs w:val="24"/>
        </w:rPr>
      </w:pPr>
    </w:p>
    <w:p w14:paraId="737D8318" w14:textId="77777777" w:rsidR="000D573D" w:rsidRDefault="000D573D" w:rsidP="000D573D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1B377D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outlineLvl w:val="1"/>
        <w:rPr>
          <w:rFonts w:eastAsia="Times New Roman" w:cs="Times New Roman"/>
          <w:sz w:val="22"/>
          <w:lang w:eastAsia="ar-SA"/>
        </w:rPr>
      </w:pPr>
      <w:r>
        <w:rPr>
          <w:rFonts w:eastAsia="Times New Roman" w:cs="Times New Roman"/>
          <w:sz w:val="22"/>
          <w:lang w:eastAsia="ar-SA"/>
        </w:rPr>
        <w:t xml:space="preserve">2. </w:t>
      </w:r>
      <w:r w:rsidRPr="008F7DB5">
        <w:rPr>
          <w:rFonts w:eastAsia="Times New Roman" w:cs="Times New Roman"/>
          <w:sz w:val="22"/>
          <w:lang w:eastAsia="ar-SA"/>
        </w:rPr>
        <w:t>ПЛАНИРУЕМЫЕ РЕЗУЛЬТАТЫ РЕАЛИЗАЦИИ МУНИЦИПАЛЬНОЙ</w:t>
      </w:r>
    </w:p>
    <w:p w14:paraId="7C2C9557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rPr>
          <w:rFonts w:eastAsia="Times New Roman" w:cs="Times New Roman"/>
          <w:sz w:val="22"/>
          <w:lang w:eastAsia="ar-SA"/>
        </w:rPr>
      </w:pPr>
      <w:r w:rsidRPr="008F7DB5">
        <w:rPr>
          <w:rFonts w:eastAsia="Times New Roman" w:cs="Times New Roman"/>
          <w:sz w:val="22"/>
          <w:lang w:eastAsia="ar-SA"/>
        </w:rPr>
        <w:t xml:space="preserve">ПРОГРАММЫ </w:t>
      </w:r>
      <w:r>
        <w:rPr>
          <w:rFonts w:eastAsia="Times New Roman" w:cs="Times New Roman"/>
          <w:sz w:val="22"/>
          <w:lang w:eastAsia="ar-SA"/>
        </w:rPr>
        <w:t>«</w:t>
      </w:r>
      <w:r w:rsidRPr="008F7DB5">
        <w:rPr>
          <w:rFonts w:eastAsia="Times New Roman" w:cs="Times New Roman"/>
          <w:sz w:val="22"/>
          <w:lang w:eastAsia="ar-SA"/>
        </w:rPr>
        <w:t>ПЕРЕСЕЛЕНИЕ ГРАЖДАН</w:t>
      </w:r>
    </w:p>
    <w:p w14:paraId="556A3020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rPr>
          <w:rFonts w:ascii="Arial" w:eastAsia="Times New Roman" w:hAnsi="Arial" w:cs="Arial"/>
          <w:sz w:val="22"/>
          <w:lang w:eastAsia="ar-SA"/>
        </w:rPr>
      </w:pPr>
      <w:r>
        <w:rPr>
          <w:rFonts w:eastAsia="Times New Roman" w:cs="Times New Roman"/>
          <w:sz w:val="22"/>
          <w:lang w:eastAsia="ar-SA"/>
        </w:rPr>
        <w:t>ИЗ АВАРИЙНОГО ЖИЛИЩНОГО ФОНДА»</w:t>
      </w:r>
    </w:p>
    <w:p w14:paraId="65C52FB0" w14:textId="77777777" w:rsidR="000D573D" w:rsidRDefault="000D573D" w:rsidP="000D573D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W w:w="157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118"/>
        <w:gridCol w:w="1389"/>
        <w:gridCol w:w="29"/>
        <w:gridCol w:w="963"/>
        <w:gridCol w:w="29"/>
        <w:gridCol w:w="1531"/>
        <w:gridCol w:w="992"/>
        <w:gridCol w:w="992"/>
        <w:gridCol w:w="992"/>
        <w:gridCol w:w="1276"/>
        <w:gridCol w:w="992"/>
        <w:gridCol w:w="993"/>
        <w:gridCol w:w="1701"/>
      </w:tblGrid>
      <w:tr w:rsidR="000D573D" w:rsidRPr="00947ECE" w14:paraId="6EF7063F" w14:textId="77777777" w:rsidTr="000D573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AA3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 xml:space="preserve">№ </w:t>
            </w:r>
          </w:p>
          <w:p w14:paraId="5979080A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45E5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</w:rPr>
              <w:t>Показатели реализации муниципальной 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42900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B16E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86EC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1440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D981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</w:rPr>
              <w:t>Номер мероприятия в перечне мероприятий Подпрограммы и код</w:t>
            </w:r>
          </w:p>
        </w:tc>
      </w:tr>
      <w:tr w:rsidR="000D573D" w:rsidRPr="00947ECE" w14:paraId="7BA5A308" w14:textId="77777777" w:rsidTr="000D573D">
        <w:trPr>
          <w:trHeight w:val="131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9DAB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697C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39502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B33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7577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2A13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3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FE8E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7DC0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2BBB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7DDF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202</w:t>
            </w:r>
            <w:r>
              <w:rPr>
                <w:rFonts w:eastAsia="Times New Roman" w:cs="Times New Roman"/>
                <w:sz w:val="20"/>
                <w:szCs w:val="20"/>
              </w:rPr>
              <w:t>7</w:t>
            </w:r>
            <w:r w:rsidRPr="00947ECE">
              <w:rPr>
                <w:rFonts w:eastAsia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C528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6E4DA6" w14:textId="77777777" w:rsidR="000D573D" w:rsidRPr="00947ECE" w:rsidRDefault="000D573D" w:rsidP="000D5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D573D" w:rsidRPr="00947ECE" w14:paraId="215AA342" w14:textId="77777777" w:rsidTr="000D573D">
        <w:trPr>
          <w:trHeight w:val="1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5FEC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78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 w14:paraId="52C9279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FC77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199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0D06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52E1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6851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B87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097D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4307E7F6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20E00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0D573D" w:rsidRPr="00947ECE" w14:paraId="4E237195" w14:textId="77777777" w:rsidTr="000D573D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B1E" w14:textId="77777777" w:rsidR="000D573D" w:rsidRPr="0060338C" w:rsidRDefault="000D573D" w:rsidP="000D573D">
            <w:pPr>
              <w:jc w:val="center"/>
              <w:rPr>
                <w:rFonts w:cs="Times New Roman"/>
                <w:sz w:val="22"/>
              </w:rPr>
            </w:pPr>
          </w:p>
          <w:p w14:paraId="0623D3F6" w14:textId="77777777" w:rsidR="000D573D" w:rsidRPr="0060338C" w:rsidRDefault="000D573D" w:rsidP="000D573D">
            <w:pPr>
              <w:jc w:val="center"/>
              <w:rPr>
                <w:rFonts w:cs="Times New Roman"/>
                <w:b/>
                <w:sz w:val="22"/>
              </w:rPr>
            </w:pPr>
            <w:r w:rsidRPr="0060338C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49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17A" w14:textId="77777777" w:rsidR="000D573D" w:rsidRPr="0060338C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</w:p>
          <w:p w14:paraId="0881D623" w14:textId="77777777" w:rsidR="000D573D" w:rsidRPr="0060338C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  <w:r w:rsidRPr="0060338C">
              <w:rPr>
                <w:rFonts w:eastAsia="Times New Roman" w:cs="Times New Roman"/>
                <w:b/>
                <w:sz w:val="22"/>
              </w:rPr>
              <w:t xml:space="preserve">Подпрограмма 2 «Обеспечение мероприятий по переселению граждан из аварийного жилищного фонда в Московской области»  </w:t>
            </w:r>
          </w:p>
          <w:p w14:paraId="7800B4C2" w14:textId="77777777" w:rsidR="000D573D" w:rsidRPr="0060338C" w:rsidRDefault="000D573D" w:rsidP="000D573D">
            <w:pPr>
              <w:jc w:val="both"/>
              <w:rPr>
                <w:rFonts w:cs="Times New Roman"/>
                <w:b/>
                <w:sz w:val="22"/>
              </w:rPr>
            </w:pPr>
            <w:r w:rsidRPr="0060338C">
              <w:rPr>
                <w:rFonts w:eastAsia="Times New Roman" w:cs="Times New Roman"/>
                <w:b/>
                <w:sz w:val="22"/>
              </w:rPr>
              <w:t xml:space="preserve">                                          </w:t>
            </w:r>
          </w:p>
        </w:tc>
      </w:tr>
      <w:tr w:rsidR="000D573D" w:rsidRPr="008F7DB5" w14:paraId="72AD388F" w14:textId="77777777" w:rsidTr="000D573D">
        <w:trPr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4BC1" w14:textId="77777777" w:rsidR="000D573D" w:rsidRPr="0060338C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>2.10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F0CD" w14:textId="77777777" w:rsidR="000D573D" w:rsidRPr="0060338C" w:rsidRDefault="000D573D" w:rsidP="000D573D">
            <w:pPr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0338C">
              <w:rPr>
                <w:rFonts w:eastAsia="Times New Roman" w:cs="Times New Roman"/>
                <w:b/>
                <w:bCs/>
                <w:sz w:val="22"/>
              </w:rPr>
              <w:t>после 01.01.2017</w:t>
            </w:r>
            <w:r w:rsidRPr="0060338C">
              <w:rPr>
                <w:rFonts w:eastAsia="Times New Roman" w:cs="Times New Roman"/>
                <w:sz w:val="22"/>
              </w:rPr>
              <w:t xml:space="preserve"> года, расселенного по Подпрограмме 2.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901991B" w14:textId="77777777" w:rsidR="000D573D" w:rsidRPr="00B6076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t>Отраслевой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4FDC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ADD2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37B8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4CEE" w14:textId="5512B6DE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0D573D">
              <w:rPr>
                <w:rFonts w:eastAsia="Times New Roman" w:cs="Times New Roman"/>
                <w:sz w:val="22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446B" w14:textId="49FE4D1F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0,00</w:t>
            </w:r>
            <w:r w:rsidR="000D573D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7D62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0181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70BA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14:paraId="48F1789F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47ECE">
              <w:rPr>
                <w:rFonts w:eastAsia="Times New Roman" w:cs="Times New Roman"/>
                <w:sz w:val="20"/>
                <w:szCs w:val="20"/>
              </w:rPr>
              <w:t>02.01.</w:t>
            </w:r>
          </w:p>
        </w:tc>
      </w:tr>
      <w:tr w:rsidR="000D573D" w:rsidRPr="008F7DB5" w14:paraId="637FA99C" w14:textId="77777777" w:rsidTr="000D573D">
        <w:trPr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CD1E" w14:textId="77777777" w:rsidR="000D573D" w:rsidRPr="0060338C" w:rsidRDefault="000D573D" w:rsidP="000D573D">
            <w:pPr>
              <w:jc w:val="center"/>
              <w:rPr>
                <w:rFonts w:cs="Times New Roman"/>
                <w:sz w:val="22"/>
              </w:rPr>
            </w:pPr>
          </w:p>
          <w:p w14:paraId="484CEBD0" w14:textId="77777777" w:rsidR="000D573D" w:rsidRPr="0060338C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60338C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F6467" w14:textId="77777777" w:rsidR="000D573D" w:rsidRPr="00B60760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</w:p>
          <w:p w14:paraId="65BB9516" w14:textId="77777777" w:rsidR="000D573D" w:rsidRPr="00B60760" w:rsidRDefault="000D573D" w:rsidP="000D573D">
            <w:pPr>
              <w:jc w:val="both"/>
              <w:rPr>
                <w:rFonts w:eastAsia="Times New Roman" w:cs="Times New Roman"/>
                <w:b/>
                <w:sz w:val="22"/>
              </w:rPr>
            </w:pPr>
            <w:r w:rsidRPr="00B60760">
              <w:rPr>
                <w:rFonts w:eastAsia="Times New Roman" w:cs="Times New Roman"/>
                <w:b/>
                <w:sz w:val="22"/>
              </w:rPr>
              <w:t xml:space="preserve">Подпрограмма 4 «Обеспечение мероприятий по переселению граждан из аварийного жилищного фонда в Московской области признанного таковым после 2017 года»  </w:t>
            </w:r>
          </w:p>
          <w:p w14:paraId="68536CBE" w14:textId="77777777" w:rsidR="000D573D" w:rsidRPr="00B60760" w:rsidRDefault="000D573D" w:rsidP="000D573D">
            <w:pPr>
              <w:jc w:val="center"/>
              <w:rPr>
                <w:rFonts w:cs="Times New Roman"/>
                <w:sz w:val="22"/>
              </w:rPr>
            </w:pPr>
            <w:r w:rsidRPr="00B60760">
              <w:rPr>
                <w:rFonts w:eastAsia="Times New Roman" w:cs="Times New Roman"/>
                <w:b/>
                <w:sz w:val="22"/>
              </w:rPr>
              <w:t xml:space="preserve">                                          </w:t>
            </w:r>
          </w:p>
        </w:tc>
      </w:tr>
      <w:tr w:rsidR="000D573D" w:rsidRPr="008F7DB5" w14:paraId="760B7AD9" w14:textId="77777777" w:rsidTr="000D573D">
        <w:trPr>
          <w:trHeight w:val="3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B7CA" w14:textId="77777777" w:rsidR="000D573D" w:rsidRPr="0060338C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>4.6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8C5C" w14:textId="77777777" w:rsidR="000D573D" w:rsidRPr="0060338C" w:rsidRDefault="000D573D" w:rsidP="000D573D">
            <w:pPr>
              <w:jc w:val="both"/>
              <w:rPr>
                <w:rFonts w:eastAsia="Times New Roman" w:cs="Times New Roman"/>
                <w:sz w:val="22"/>
              </w:rPr>
            </w:pPr>
            <w:r w:rsidRPr="0060338C">
              <w:rPr>
                <w:rFonts w:eastAsia="Times New Roman" w:cs="Times New Roman"/>
                <w:sz w:val="22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0338C">
              <w:rPr>
                <w:rFonts w:eastAsia="Times New Roman" w:cs="Times New Roman"/>
                <w:b/>
                <w:bCs/>
                <w:sz w:val="22"/>
              </w:rPr>
              <w:t>после 01.01.2017</w:t>
            </w:r>
            <w:r w:rsidRPr="0060338C">
              <w:rPr>
                <w:rFonts w:eastAsia="Times New Roman" w:cs="Times New Roman"/>
                <w:sz w:val="22"/>
              </w:rPr>
              <w:t xml:space="preserve"> </w:t>
            </w:r>
            <w:r w:rsidRPr="0060338C">
              <w:rPr>
                <w:rFonts w:eastAsia="Times New Roman" w:cs="Times New Roman"/>
                <w:sz w:val="22"/>
              </w:rPr>
              <w:lastRenderedPageBreak/>
              <w:t>года, расселенного по Подпрограмме 4.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4DA864E" w14:textId="77777777" w:rsidR="000D573D" w:rsidRPr="00B6076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2DA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B6076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D133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830C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1DF4" w14:textId="3BE17C5F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0D573D">
              <w:rPr>
                <w:rFonts w:eastAsia="Times New Roman" w:cs="Times New Roman"/>
                <w:sz w:val="22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F520" w14:textId="546D27BF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0D573D">
              <w:rPr>
                <w:rFonts w:eastAsia="Times New Roman" w:cs="Times New Roman"/>
                <w:sz w:val="22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D2E7" w14:textId="7A9A9F0D" w:rsidR="000D573D" w:rsidRPr="00B60760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</w:t>
            </w:r>
            <w:r w:rsidR="000D573D">
              <w:rPr>
                <w:rFonts w:eastAsia="Times New Roman" w:cs="Times New Roman"/>
                <w:sz w:val="22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8836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6479" w14:textId="77777777" w:rsidR="000D573D" w:rsidRPr="00B6076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C85532B" w14:textId="77777777" w:rsidR="000D573D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01D470F7" w14:textId="77777777" w:rsidR="000D573D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DFE6D20" w14:textId="77777777" w:rsidR="000D573D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AD43B6" w14:textId="77777777" w:rsidR="000D573D" w:rsidRPr="00947ECE" w:rsidRDefault="000D573D" w:rsidP="000D57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47ECE">
              <w:rPr>
                <w:rFonts w:cs="Times New Roman"/>
                <w:sz w:val="20"/>
                <w:szCs w:val="20"/>
                <w:lang w:val="en-US"/>
              </w:rPr>
              <w:t>04</w:t>
            </w:r>
            <w:r w:rsidRPr="00947ECE">
              <w:rPr>
                <w:rFonts w:cs="Times New Roman"/>
                <w:sz w:val="20"/>
                <w:szCs w:val="20"/>
              </w:rPr>
              <w:t>.01</w:t>
            </w:r>
          </w:p>
        </w:tc>
      </w:tr>
      <w:tr w:rsidR="000D573D" w:rsidRPr="00947ECE" w14:paraId="547996AB" w14:textId="77777777" w:rsidTr="000D573D">
        <w:trPr>
          <w:trHeight w:val="2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42D8EE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6E88DAE1" w14:textId="77777777" w:rsidR="000D573D" w:rsidRPr="00947ECE" w:rsidRDefault="000D573D" w:rsidP="000D573D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99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1E154" w14:textId="77777777" w:rsidR="000D573D" w:rsidRPr="00947ECE" w:rsidRDefault="000D573D" w:rsidP="000D57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  <w:p w14:paraId="616E0318" w14:textId="77777777" w:rsidR="000D573D" w:rsidRPr="00947ECE" w:rsidRDefault="000D573D" w:rsidP="000D573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Подпрограмма 5</w:t>
            </w:r>
            <w:r w:rsidRPr="00947EC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527CD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«Обеспечение мероприятий по переселению граждан из непригодного для проживания жилищного фонда»</w:t>
            </w:r>
          </w:p>
        </w:tc>
      </w:tr>
      <w:tr w:rsidR="0096045C" w:rsidRPr="00947ECE" w14:paraId="5777B041" w14:textId="77777777" w:rsidTr="0096045C">
        <w:trPr>
          <w:trHeight w:val="3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09C8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947ECE">
              <w:rPr>
                <w:rFonts w:eastAsia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08D0" w14:textId="156CB900" w:rsidR="0096045C" w:rsidRPr="00527CD6" w:rsidRDefault="0096045C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527CD6"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  <w:t>Количество граждан,  расселенного из непригодного для проживания жилищного фонда</w:t>
            </w: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 w14:paraId="255BCE29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Приоритетный,</w:t>
            </w:r>
          </w:p>
          <w:p w14:paraId="4E00B005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9858" w14:textId="77777777" w:rsidR="0096045C" w:rsidRPr="00947ECE" w:rsidRDefault="0096045C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A5C" w14:textId="77777777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3BF58962" w14:textId="77777777" w:rsid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55A4418D" w14:textId="77777777" w:rsid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</w:p>
          <w:p w14:paraId="17B7BC5A" w14:textId="0F1294CF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39F" w14:textId="5F71FF7E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2D2D" w14:textId="0C2A05D3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FF47" w14:textId="5EF1D909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F7CB" w14:textId="18D4BFAB" w:rsidR="0096045C" w:rsidRPr="0096045C" w:rsidRDefault="00F03B36" w:rsidP="000D573D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0,0</w:t>
            </w:r>
            <w:r w:rsidR="0096045C" w:rsidRPr="0096045C">
              <w:rPr>
                <w:rFonts w:eastAsia="Times New Roman" w:cs="Times New Roman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E3B9" w14:textId="4F407CF5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1F02" w14:textId="7806914D" w:rsidR="0096045C" w:rsidRPr="0096045C" w:rsidRDefault="0096045C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96045C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E857A8" w14:textId="49719AB9" w:rsidR="0096045C" w:rsidRPr="00B82105" w:rsidRDefault="00280643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И2.</w:t>
            </w:r>
            <w:r w:rsidR="00033F96">
              <w:rPr>
                <w:rFonts w:cs="Times New Roman"/>
                <w:sz w:val="20"/>
                <w:szCs w:val="20"/>
              </w:rPr>
              <w:t>0</w:t>
            </w:r>
            <w:r w:rsidR="00B82105">
              <w:rPr>
                <w:rFonts w:cs="Times New Roman"/>
                <w:sz w:val="20"/>
                <w:szCs w:val="20"/>
              </w:rPr>
              <w:t>2, И.2.</w:t>
            </w:r>
            <w:r w:rsidR="00033F96">
              <w:rPr>
                <w:rFonts w:cs="Times New Roman"/>
                <w:sz w:val="20"/>
                <w:szCs w:val="20"/>
              </w:rPr>
              <w:t>0</w:t>
            </w:r>
            <w:r w:rsidR="00B82105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2AA29911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EA9FB8E" w14:textId="77777777" w:rsidR="00EB03CB" w:rsidRDefault="00EB03CB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74DFF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BC0568D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CC540E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658BEE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A098F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D18BE35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5AA82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0AAF9F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A456B07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427B8A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2E36842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238F6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441640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BA7DCF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D53AB6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C3A346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FFA316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C464DA1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D39F7E6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3E82473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BCB06D9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6D2A014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953F2AA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4911D9A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E297F7B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01CF41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6542D97" w14:textId="77777777" w:rsidR="000D573D" w:rsidRDefault="000D573D" w:rsidP="000D573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Приложение 3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6665AD1B" w14:textId="77777777" w:rsidR="000D573D" w:rsidRPr="00EC6A69" w:rsidRDefault="000D573D" w:rsidP="000D573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65AEC7F0" w14:textId="77777777" w:rsidR="000D573D" w:rsidRDefault="000D573D" w:rsidP="000D573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7D3927F0" w14:textId="6BE4BC5D" w:rsidR="000D573D" w:rsidRDefault="00A30C06" w:rsidP="00A30C06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16.07.2026 № 1498-па</w:t>
      </w:r>
    </w:p>
    <w:p w14:paraId="14BE15A8" w14:textId="77777777" w:rsidR="000D573D" w:rsidRDefault="000D573D" w:rsidP="000D573D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B517E0F" w14:textId="77777777" w:rsidR="000D573D" w:rsidRPr="00EB03CB" w:rsidRDefault="000D573D" w:rsidP="000D573D">
      <w:pPr>
        <w:widowControl w:val="0"/>
        <w:suppressAutoHyphens/>
        <w:autoSpaceDE w:val="0"/>
        <w:autoSpaceDN w:val="0"/>
        <w:jc w:val="center"/>
        <w:outlineLvl w:val="1"/>
        <w:rPr>
          <w:rFonts w:eastAsia="Times New Roman" w:cs="Times New Roman"/>
          <w:sz w:val="22"/>
          <w:lang w:eastAsia="ar-SA"/>
        </w:rPr>
      </w:pPr>
      <w:r w:rsidRPr="00EB03CB">
        <w:rPr>
          <w:rFonts w:eastAsia="Times New Roman" w:cs="Times New Roman"/>
          <w:sz w:val="22"/>
          <w:lang w:eastAsia="ar-SA"/>
        </w:rPr>
        <w:t>3. МЕТОДИКА РАСЧЕТА ЗНАЧЕНИЙ ПЛАНИРУЕМЫХ РЕЗУЛЬТАТОВ</w:t>
      </w:r>
    </w:p>
    <w:p w14:paraId="605DEFD9" w14:textId="77777777" w:rsidR="000D573D" w:rsidRPr="008F7DB5" w:rsidRDefault="000D573D" w:rsidP="000D573D">
      <w:pPr>
        <w:widowControl w:val="0"/>
        <w:suppressAutoHyphens/>
        <w:autoSpaceDE w:val="0"/>
        <w:autoSpaceDN w:val="0"/>
        <w:jc w:val="center"/>
        <w:rPr>
          <w:rFonts w:eastAsia="Times New Roman" w:cs="Times New Roman"/>
          <w:sz w:val="22"/>
          <w:lang w:eastAsia="ar-SA"/>
        </w:rPr>
      </w:pPr>
      <w:r w:rsidRPr="00EB03CB">
        <w:rPr>
          <w:rFonts w:eastAsia="Times New Roman" w:cs="Times New Roman"/>
          <w:sz w:val="22"/>
          <w:lang w:eastAsia="ar-SA"/>
        </w:rPr>
        <w:t>РЕАЛИЗАЦИИ МУНИЦИПАЛЬНОЙ ПРОГРАММЫ</w:t>
      </w:r>
      <w:r>
        <w:rPr>
          <w:rFonts w:eastAsia="Times New Roman" w:cs="Times New Roman"/>
          <w:sz w:val="22"/>
          <w:lang w:eastAsia="ar-SA"/>
        </w:rPr>
        <w:t xml:space="preserve"> «</w:t>
      </w:r>
      <w:r w:rsidRPr="008F7DB5">
        <w:rPr>
          <w:rFonts w:eastAsia="Times New Roman" w:cs="Times New Roman"/>
          <w:sz w:val="22"/>
          <w:lang w:eastAsia="ar-SA"/>
        </w:rPr>
        <w:t>ПЕРЕСЕЛЕНИЕ ГРАЖДАН</w:t>
      </w:r>
    </w:p>
    <w:p w14:paraId="0EC72EFA" w14:textId="77777777" w:rsidR="000D573D" w:rsidRPr="00EB03CB" w:rsidRDefault="000D573D" w:rsidP="000D573D">
      <w:pPr>
        <w:widowControl w:val="0"/>
        <w:suppressAutoHyphens/>
        <w:autoSpaceDE w:val="0"/>
        <w:autoSpaceDN w:val="0"/>
        <w:jc w:val="center"/>
        <w:rPr>
          <w:rFonts w:eastAsia="Times New Roman" w:cs="Times New Roman"/>
          <w:sz w:val="22"/>
          <w:lang w:eastAsia="ar-SA"/>
        </w:rPr>
      </w:pPr>
      <w:r>
        <w:rPr>
          <w:rFonts w:eastAsia="Times New Roman" w:cs="Times New Roman"/>
          <w:sz w:val="22"/>
          <w:lang w:eastAsia="ar-SA"/>
        </w:rPr>
        <w:t>ИЗ АВАРИЙНОГО ЖИЛИЩНОГО ФОНДА»</w:t>
      </w:r>
    </w:p>
    <w:p w14:paraId="0A61E9D1" w14:textId="77777777" w:rsidR="000D573D" w:rsidRDefault="000D573D" w:rsidP="000D573D">
      <w:pPr>
        <w:ind w:firstLine="709"/>
        <w:jc w:val="center"/>
        <w:rPr>
          <w:rFonts w:eastAsia="Calibri" w:cs="Times New Roman"/>
          <w:sz w:val="24"/>
          <w:szCs w:val="24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671"/>
        <w:gridCol w:w="2926"/>
        <w:gridCol w:w="1349"/>
        <w:gridCol w:w="5578"/>
        <w:gridCol w:w="2715"/>
        <w:gridCol w:w="1812"/>
      </w:tblGrid>
      <w:tr w:rsidR="000D573D" w:rsidRPr="00947ECE" w14:paraId="76F5D0DF" w14:textId="77777777" w:rsidTr="000D573D">
        <w:trPr>
          <w:trHeight w:val="63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3A4DB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№ п/п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4CA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Наименование целевого показателя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C6D7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Единица измерения</w:t>
            </w:r>
          </w:p>
        </w:tc>
        <w:tc>
          <w:tcPr>
            <w:tcW w:w="1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D89C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Порядок расчета значений целевого показателя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39C7C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Источник данных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70348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Периодичность предоставления</w:t>
            </w:r>
          </w:p>
        </w:tc>
      </w:tr>
      <w:tr w:rsidR="000D573D" w:rsidRPr="00947ECE" w14:paraId="5377BCA1" w14:textId="77777777" w:rsidTr="000D573D">
        <w:trPr>
          <w:trHeight w:val="315"/>
        </w:trPr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F48B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46A2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995C9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439A0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3A7D5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A8832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6</w:t>
            </w:r>
          </w:p>
        </w:tc>
      </w:tr>
      <w:tr w:rsidR="000D573D" w:rsidRPr="00947ECE" w14:paraId="61B29AE8" w14:textId="77777777" w:rsidTr="000D573D">
        <w:trPr>
          <w:trHeight w:val="492"/>
        </w:trPr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C5DDB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2</w:t>
            </w:r>
          </w:p>
        </w:tc>
        <w:tc>
          <w:tcPr>
            <w:tcW w:w="417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F96D95" w14:textId="77777777" w:rsidR="000D573D" w:rsidRPr="00E20E00" w:rsidRDefault="000D573D" w:rsidP="000D573D">
            <w:pPr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DAA7F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</w:p>
        </w:tc>
      </w:tr>
      <w:tr w:rsidR="000D573D" w:rsidRPr="00947ECE" w14:paraId="0F60062F" w14:textId="77777777" w:rsidTr="000D573D">
        <w:trPr>
          <w:trHeight w:val="1320"/>
        </w:trPr>
        <w:tc>
          <w:tcPr>
            <w:tcW w:w="2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DAF25" w14:textId="77777777" w:rsidR="000D573D" w:rsidRPr="00E20E00" w:rsidRDefault="000D573D" w:rsidP="000D573D">
            <w:pPr>
              <w:jc w:val="right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2.10.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4D165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D6F3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FF828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BBC6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79358F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0AC90B3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5DC0371D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320F303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0BB9C8A3" w14:textId="77777777" w:rsidR="000D573D" w:rsidRDefault="000D573D" w:rsidP="000D5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Годовая</w:t>
            </w:r>
          </w:p>
          <w:p w14:paraId="7152C517" w14:textId="77777777" w:rsidR="000D573D" w:rsidRPr="00E20E00" w:rsidRDefault="000D573D" w:rsidP="000D573D">
            <w:pPr>
              <w:jc w:val="center"/>
              <w:rPr>
                <w:sz w:val="22"/>
              </w:rPr>
            </w:pPr>
          </w:p>
        </w:tc>
      </w:tr>
      <w:tr w:rsidR="000D573D" w:rsidRPr="00947ECE" w14:paraId="5883315C" w14:textId="77777777" w:rsidTr="000D573D">
        <w:trPr>
          <w:trHeight w:val="492"/>
        </w:trPr>
        <w:tc>
          <w:tcPr>
            <w:tcW w:w="2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9F218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4</w:t>
            </w:r>
          </w:p>
        </w:tc>
        <w:tc>
          <w:tcPr>
            <w:tcW w:w="4175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96553" w14:textId="77777777" w:rsidR="000D573D" w:rsidRPr="00E20E00" w:rsidRDefault="000D573D" w:rsidP="000D573D">
            <w:pPr>
              <w:rPr>
                <w:rFonts w:eastAsia="Times New Roman" w:cs="Times New Roman"/>
                <w:b/>
                <w:sz w:val="22"/>
              </w:rPr>
            </w:pPr>
            <w:r w:rsidRPr="00E20E00">
              <w:rPr>
                <w:rFonts w:eastAsia="Times New Roman" w:cs="Times New Roman"/>
                <w:b/>
                <w:sz w:val="22"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0FC7E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</w:p>
        </w:tc>
      </w:tr>
      <w:tr w:rsidR="000D573D" w:rsidRPr="00947ECE" w14:paraId="15E14D27" w14:textId="77777777" w:rsidTr="000D573D">
        <w:trPr>
          <w:trHeight w:val="13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6A1E" w14:textId="77777777" w:rsidR="000D573D" w:rsidRPr="00E20E00" w:rsidRDefault="000D573D" w:rsidP="000D573D">
            <w:pPr>
              <w:jc w:val="right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4.6.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8D69E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D72" w14:textId="77777777" w:rsidR="000D573D" w:rsidRPr="00E20E00" w:rsidRDefault="000D573D" w:rsidP="000D573D">
            <w:pPr>
              <w:jc w:val="center"/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Тысяча человек</w:t>
            </w:r>
          </w:p>
        </w:tc>
        <w:tc>
          <w:tcPr>
            <w:tcW w:w="1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1447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EEE24" w14:textId="77777777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 w:rsidRPr="00E20E00">
              <w:rPr>
                <w:rFonts w:eastAsia="Times New Roman" w:cs="Times New Roman"/>
                <w:sz w:val="22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2A8C8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7E21C1FE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701C1619" w14:textId="77777777" w:rsidR="000D573D" w:rsidRDefault="000D573D" w:rsidP="000D573D">
            <w:pPr>
              <w:jc w:val="center"/>
              <w:rPr>
                <w:sz w:val="22"/>
              </w:rPr>
            </w:pPr>
          </w:p>
          <w:p w14:paraId="0088A9A8" w14:textId="77777777" w:rsidR="000D573D" w:rsidRPr="00E20E00" w:rsidRDefault="000D573D" w:rsidP="000D5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Годовая</w:t>
            </w:r>
          </w:p>
        </w:tc>
      </w:tr>
      <w:tr w:rsidR="000D573D" w:rsidRPr="00947ECE" w14:paraId="59D95CE3" w14:textId="77777777" w:rsidTr="000D573D">
        <w:trPr>
          <w:trHeight w:val="845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4A7D" w14:textId="293FAF90" w:rsidR="000D573D" w:rsidRPr="00E20E00" w:rsidRDefault="000D573D" w:rsidP="000D573D">
            <w:pPr>
              <w:jc w:val="right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17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D92F2" w14:textId="4EBB6176" w:rsidR="000D573D" w:rsidRPr="00E20E00" w:rsidRDefault="000D573D" w:rsidP="000D573D">
            <w:pPr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Подпрограмма 5</w:t>
            </w:r>
            <w:r w:rsidRPr="00947ECE">
              <w:rPr>
                <w:rFonts w:eastAsia="Times New Roman" w:cs="Times New Roman"/>
                <w:b/>
                <w:sz w:val="24"/>
                <w:szCs w:val="24"/>
              </w:rPr>
              <w:t xml:space="preserve"> «Обеспечение устойчивого сокращения непригодного для проживания жилищного фонда»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B2EA6" w14:textId="77777777" w:rsidR="000D573D" w:rsidRDefault="000D573D" w:rsidP="000D573D">
            <w:pPr>
              <w:jc w:val="center"/>
              <w:rPr>
                <w:sz w:val="22"/>
              </w:rPr>
            </w:pPr>
          </w:p>
        </w:tc>
      </w:tr>
      <w:tr w:rsidR="000D573D" w:rsidRPr="00947ECE" w14:paraId="07E6D85B" w14:textId="77777777" w:rsidTr="000D573D">
        <w:trPr>
          <w:trHeight w:val="1320"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C6FE" w14:textId="3E06D7AD" w:rsidR="000D573D" w:rsidRDefault="000D573D" w:rsidP="000D573D">
            <w:pPr>
              <w:jc w:val="righ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Pr="00947ECE">
              <w:rPr>
                <w:rFonts w:eastAsia="Times New Roman" w:cs="Times New Roman"/>
                <w:sz w:val="24"/>
                <w:szCs w:val="24"/>
              </w:rPr>
              <w:t>.2.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9A65D" w14:textId="278CDFAA" w:rsidR="000D573D" w:rsidRPr="00947ECE" w:rsidRDefault="000D573D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Количество граждан, расселенных из аварийного жилищного фонда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FF815" w14:textId="626D5219" w:rsidR="000D573D" w:rsidRPr="00947ECE" w:rsidRDefault="000D573D" w:rsidP="000D573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Тысяча человек</w:t>
            </w:r>
          </w:p>
        </w:tc>
        <w:tc>
          <w:tcPr>
            <w:tcW w:w="185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CFD3F" w14:textId="16F38504" w:rsidR="000D573D" w:rsidRPr="00947ECE" w:rsidRDefault="000D573D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 xml:space="preserve">Значение целевого показателя определяется исходя из количества переселенных из аварийного фонда граждан, с привлечением средств </w:t>
            </w:r>
            <w:r>
              <w:rPr>
                <w:rFonts w:eastAsia="Times New Roman" w:cs="Times New Roman"/>
                <w:sz w:val="24"/>
                <w:szCs w:val="24"/>
              </w:rPr>
              <w:t>ППК ФРТ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6C1589" w14:textId="1742AE91" w:rsidR="000D573D" w:rsidRPr="00947ECE" w:rsidRDefault="000D573D" w:rsidP="000D573D">
            <w:pPr>
              <w:rPr>
                <w:rFonts w:eastAsia="Times New Roman" w:cs="Times New Roman"/>
                <w:sz w:val="24"/>
                <w:szCs w:val="24"/>
              </w:rPr>
            </w:pPr>
            <w:r w:rsidRPr="00947ECE">
              <w:rPr>
                <w:rFonts w:eastAsia="Times New Roman" w:cs="Times New Roman"/>
                <w:sz w:val="24"/>
                <w:szCs w:val="24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BBBF3" w14:textId="77777777" w:rsidR="0096045C" w:rsidRDefault="0096045C" w:rsidP="000D573D">
            <w:pPr>
              <w:jc w:val="center"/>
              <w:rPr>
                <w:sz w:val="22"/>
              </w:rPr>
            </w:pPr>
          </w:p>
          <w:p w14:paraId="6DC615D1" w14:textId="77777777" w:rsidR="0096045C" w:rsidRDefault="0096045C" w:rsidP="000D573D">
            <w:pPr>
              <w:jc w:val="center"/>
              <w:rPr>
                <w:sz w:val="22"/>
              </w:rPr>
            </w:pPr>
          </w:p>
          <w:p w14:paraId="6F82CC5C" w14:textId="5799298C" w:rsidR="000D573D" w:rsidRDefault="0096045C" w:rsidP="000D57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Годовая</w:t>
            </w:r>
          </w:p>
        </w:tc>
      </w:tr>
    </w:tbl>
    <w:p w14:paraId="31CC6DE5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AA0C0BD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0EBE4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A62BF7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5F186D7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DCE8CFF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803D088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63A63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AED0172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5D4E5A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393A7AA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93FDD9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F5990B4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11564C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2857E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C239C1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2E50FE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27E468B" w14:textId="77777777" w:rsidR="000D573D" w:rsidRDefault="000D573D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90C3FB0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5F43103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408ED0C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57ABE99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0EEDA3D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63703CA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7994DF9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F513CD8" w14:textId="77777777" w:rsidR="0096045C" w:rsidRDefault="0096045C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EBA924B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A21D98" w14:textId="77777777" w:rsidR="00B82105" w:rsidRDefault="00B8210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95636F2" w14:textId="77777777" w:rsidR="00B82105" w:rsidRDefault="00B8210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B86BCF4" w14:textId="77777777" w:rsidR="00B82105" w:rsidRDefault="00B8210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8AFB6E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3FF4033" w14:textId="1BDBCED7" w:rsidR="00CB3DE0" w:rsidRDefault="00CB3DE0" w:rsidP="00CB3DE0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Приложение 4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24E9CB9" w14:textId="77777777" w:rsidR="00CB3DE0" w:rsidRPr="00EC6A69" w:rsidRDefault="00CB3DE0" w:rsidP="00CB3DE0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6AD28CAA" w14:textId="77777777" w:rsidR="00A30C06" w:rsidRDefault="00CB3DE0" w:rsidP="00A30C06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26B0856D" w14:textId="5CFB70C6" w:rsidR="00A30C06" w:rsidRDefault="00A30C06" w:rsidP="00A30C06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16.07.2026 № 1498-па</w:t>
      </w:r>
    </w:p>
    <w:p w14:paraId="5466A1AF" w14:textId="0132A1AB" w:rsidR="00CB3DE0" w:rsidRDefault="00A30C06" w:rsidP="00A30C06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                                        </w:t>
      </w:r>
    </w:p>
    <w:p w14:paraId="00559211" w14:textId="77777777" w:rsidR="00CB3DE0" w:rsidRDefault="00CB3DE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6AE3110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96045C">
        <w:rPr>
          <w:rFonts w:eastAsia="Times New Roman" w:cs="Times New Roman"/>
          <w:sz w:val="22"/>
          <w:lang w:eastAsia="ru-RU"/>
        </w:rPr>
        <w:t>5</w:t>
      </w:r>
    </w:p>
    <w:p w14:paraId="0F03FD91" w14:textId="272E0E13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045C">
        <w:rPr>
          <w:rFonts w:eastAsia="Times New Roman" w:cs="Times New Roman"/>
          <w:sz w:val="22"/>
          <w:lang w:eastAsia="ru-RU"/>
        </w:rPr>
        <w:t xml:space="preserve">" </w:t>
      </w:r>
      <w:r w:rsidR="0096045C" w:rsidRPr="0096045C">
        <w:rPr>
          <w:rFonts w:eastAsia="Times New Roman" w:cs="Times New Roman"/>
          <w:sz w:val="24"/>
          <w:szCs w:val="24"/>
        </w:rPr>
        <w:t>Обеспечение мероприятий по переселению граждан из непригодного для проживания жилищного фонда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133"/>
        <w:gridCol w:w="1701"/>
        <w:gridCol w:w="1276"/>
        <w:gridCol w:w="709"/>
        <w:gridCol w:w="709"/>
        <w:gridCol w:w="708"/>
        <w:gridCol w:w="993"/>
        <w:gridCol w:w="992"/>
        <w:gridCol w:w="993"/>
        <w:gridCol w:w="850"/>
        <w:gridCol w:w="709"/>
        <w:gridCol w:w="1560"/>
        <w:gridCol w:w="1275"/>
      </w:tblGrid>
      <w:tr w:rsidR="00D1056D" w:rsidRPr="00EC6A69" w14:paraId="0F4FBD21" w14:textId="77777777" w:rsidTr="00AE4E11">
        <w:tc>
          <w:tcPr>
            <w:tcW w:w="5102" w:type="dxa"/>
            <w:gridSpan w:val="4"/>
          </w:tcPr>
          <w:p w14:paraId="6AAFF8F3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10"/>
          </w:tcPr>
          <w:p w14:paraId="0589B775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CB3DE0">
        <w:tc>
          <w:tcPr>
            <w:tcW w:w="566" w:type="dxa"/>
            <w:vMerge w:val="restart"/>
          </w:tcPr>
          <w:p w14:paraId="0117424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745571FB" w14:textId="661AD6BB" w:rsidR="00D1056D" w:rsidRPr="00EC6A69" w:rsidRDefault="00D1056D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Мероприятия по реализации подпрограммы </w:t>
            </w:r>
            <w:r w:rsidR="00CB3DE0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</w:tcPr>
          <w:p w14:paraId="0D029722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376CB66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663" w:type="dxa"/>
            <w:gridSpan w:val="8"/>
          </w:tcPr>
          <w:p w14:paraId="6C5F47E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Ответствен-ный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E4E11" w:rsidRPr="00EC6A69" w14:paraId="0877D86E" w14:textId="77777777" w:rsidTr="00CB3DE0">
        <w:tc>
          <w:tcPr>
            <w:tcW w:w="566" w:type="dxa"/>
            <w:vMerge/>
          </w:tcPr>
          <w:p w14:paraId="709DACE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6BFF1CB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34FE8468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A6C7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EF6D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1D87E2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0F7D5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ECB513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18F768A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70530E3B" w14:textId="77777777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6767A0D" w14:textId="452C3706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vMerge/>
          </w:tcPr>
          <w:p w14:paraId="6A35251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AE4E11" w:rsidRPr="00EC6A69" w14:paraId="201A2248" w14:textId="77777777" w:rsidTr="00CB3DE0">
        <w:tc>
          <w:tcPr>
            <w:tcW w:w="566" w:type="dxa"/>
          </w:tcPr>
          <w:p w14:paraId="78B696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0FA7635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239BBD2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B551B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DE9565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2C36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7F050C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57481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4749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F03E030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8EBA4EE" w14:textId="7798C34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03232E2F" w14:textId="46C0B01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77AF6DF4" w14:textId="7E2DFC12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</w:tr>
      <w:tr w:rsidR="00A806DA" w:rsidRPr="00EC6A69" w14:paraId="0EEFEBA7" w14:textId="77777777" w:rsidTr="00CB3DE0">
        <w:trPr>
          <w:cantSplit/>
          <w:trHeight w:val="743"/>
        </w:trPr>
        <w:tc>
          <w:tcPr>
            <w:tcW w:w="566" w:type="dxa"/>
            <w:vMerge w:val="restart"/>
          </w:tcPr>
          <w:p w14:paraId="25A1D92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14:paraId="0777BAE3" w14:textId="50E20025" w:rsidR="00A806DA" w:rsidRPr="00EC6A69" w:rsidRDefault="00A806DA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="00CB3DE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И2. Федеральный проект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CB3DE0">
              <w:rPr>
                <w:rFonts w:eastAsia="Times New Roman" w:cs="Times New Roman"/>
                <w:sz w:val="20"/>
                <w:szCs w:val="20"/>
                <w:lang w:eastAsia="ru-RU"/>
              </w:rPr>
              <w:t>Жилье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3" w:type="dxa"/>
            <w:vMerge w:val="restart"/>
          </w:tcPr>
          <w:p w14:paraId="174945D3" w14:textId="408DE07E" w:rsidR="00A806DA" w:rsidRPr="00EC6A69" w:rsidRDefault="00A806DA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</w:t>
            </w:r>
            <w:r w:rsidR="00CB3DE0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085B55" w14:textId="77777777" w:rsidR="00A806DA" w:rsidRPr="00CB3DE0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1F461B74" w:rsidR="00A806DA" w:rsidRPr="00681092" w:rsidRDefault="005079D7" w:rsidP="00002D8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593 858,77</w:t>
            </w:r>
          </w:p>
        </w:tc>
        <w:tc>
          <w:tcPr>
            <w:tcW w:w="709" w:type="dxa"/>
          </w:tcPr>
          <w:p w14:paraId="149DBA2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358054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3DE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CEC84B" w14:textId="27C10F5C" w:rsidR="00A806DA" w:rsidRPr="00681092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1E68D68" w14:textId="28C6FB31" w:rsidR="00A806DA" w:rsidRPr="00EC6A69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4CBB66A" w14:textId="48352167" w:rsidR="00A806DA" w:rsidRPr="003C692C" w:rsidRDefault="005079D7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74 648,58</w:t>
            </w:r>
          </w:p>
        </w:tc>
        <w:tc>
          <w:tcPr>
            <w:tcW w:w="850" w:type="dxa"/>
          </w:tcPr>
          <w:p w14:paraId="2BC57E1E" w14:textId="651AA43A" w:rsidR="00A806DA" w:rsidRPr="003C692C" w:rsidRDefault="005079D7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519 210,19</w:t>
            </w:r>
          </w:p>
        </w:tc>
        <w:tc>
          <w:tcPr>
            <w:tcW w:w="709" w:type="dxa"/>
          </w:tcPr>
          <w:p w14:paraId="6621ACA3" w14:textId="1624F593" w:rsidR="00A806DA" w:rsidRPr="003C692C" w:rsidRDefault="00CB3DE0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34E8E8E5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40B486D1" w14:textId="77777777" w:rsidTr="00CB3DE0">
        <w:trPr>
          <w:cantSplit/>
        </w:trPr>
        <w:tc>
          <w:tcPr>
            <w:tcW w:w="566" w:type="dxa"/>
            <w:vMerge/>
          </w:tcPr>
          <w:p w14:paraId="2530314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4DF087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3B54CCB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E82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6A42A347" w:rsidR="00A806DA" w:rsidRPr="00681092" w:rsidRDefault="005079D7" w:rsidP="00394C7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497 051,00</w:t>
            </w:r>
          </w:p>
        </w:tc>
        <w:tc>
          <w:tcPr>
            <w:tcW w:w="709" w:type="dxa"/>
          </w:tcPr>
          <w:p w14:paraId="2A20902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7DC29A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437D798" w14:textId="71FD8A2F" w:rsidR="00A806DA" w:rsidRPr="00681092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D56C4D3" w14:textId="738B3619" w:rsidR="00A806DA" w:rsidRPr="00EC6A69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74C9ADFD" w14:textId="31B8F4C4" w:rsidR="00A806DA" w:rsidRPr="003C692C" w:rsidRDefault="005079D7" w:rsidP="005079D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74 315,52</w:t>
            </w:r>
          </w:p>
        </w:tc>
        <w:tc>
          <w:tcPr>
            <w:tcW w:w="850" w:type="dxa"/>
          </w:tcPr>
          <w:p w14:paraId="1E4939C3" w14:textId="45F330F7" w:rsidR="00A806DA" w:rsidRPr="003C692C" w:rsidRDefault="005079D7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422 735,48</w:t>
            </w:r>
          </w:p>
        </w:tc>
        <w:tc>
          <w:tcPr>
            <w:tcW w:w="709" w:type="dxa"/>
          </w:tcPr>
          <w:p w14:paraId="7824ACDB" w14:textId="323AA8D3" w:rsidR="00A806DA" w:rsidRPr="003C692C" w:rsidRDefault="00CB3DE0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208479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4CB8F60" w14:textId="77777777" w:rsidTr="00CB3DE0">
        <w:trPr>
          <w:cantSplit/>
        </w:trPr>
        <w:tc>
          <w:tcPr>
            <w:tcW w:w="566" w:type="dxa"/>
            <w:vMerge/>
          </w:tcPr>
          <w:p w14:paraId="68A4D1A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60CAAD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F0307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C2F7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01F8B831" w:rsidR="00A806DA" w:rsidRPr="00681092" w:rsidRDefault="005079D7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96 807,77</w:t>
            </w:r>
          </w:p>
        </w:tc>
        <w:tc>
          <w:tcPr>
            <w:tcW w:w="709" w:type="dxa"/>
          </w:tcPr>
          <w:p w14:paraId="7CDE6BB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73B527D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9D83D3C" w14:textId="04A6FA2B" w:rsidR="00A806DA" w:rsidRPr="00681092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47B1E6A3" w14:textId="58B258EC" w:rsidR="00A806DA" w:rsidRPr="00EC6A69" w:rsidRDefault="00CB3D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EE9CBC4" w14:textId="03C66E30" w:rsidR="00A806DA" w:rsidRPr="003C692C" w:rsidRDefault="005079D7" w:rsidP="00B7529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333,06</w:t>
            </w:r>
          </w:p>
        </w:tc>
        <w:tc>
          <w:tcPr>
            <w:tcW w:w="850" w:type="dxa"/>
          </w:tcPr>
          <w:p w14:paraId="50E60A7D" w14:textId="532ABEA6" w:rsidR="00A806DA" w:rsidRPr="003C692C" w:rsidRDefault="005079D7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96 474,71</w:t>
            </w:r>
          </w:p>
        </w:tc>
        <w:tc>
          <w:tcPr>
            <w:tcW w:w="709" w:type="dxa"/>
          </w:tcPr>
          <w:p w14:paraId="3A3ADBCB" w14:textId="07A1312A" w:rsidR="00A806DA" w:rsidRPr="003C692C" w:rsidRDefault="00CB3DE0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F0EE06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3A8B81B" w14:textId="77777777" w:rsidTr="00CB3DE0">
        <w:trPr>
          <w:cantSplit/>
        </w:trPr>
        <w:tc>
          <w:tcPr>
            <w:tcW w:w="566" w:type="dxa"/>
            <w:vMerge/>
          </w:tcPr>
          <w:p w14:paraId="304812A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00035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38CA0F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D9F1DB9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537A4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85E4F6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AD60A5" w14:textId="23A4C8C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B618B6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9F2EDC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2D0898" w14:textId="42BB52E2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262EDFA5" w14:textId="77777777" w:rsidTr="00CB3DE0">
        <w:trPr>
          <w:cantSplit/>
          <w:trHeight w:val="743"/>
        </w:trPr>
        <w:tc>
          <w:tcPr>
            <w:tcW w:w="566" w:type="dxa"/>
            <w:vMerge w:val="restart"/>
          </w:tcPr>
          <w:p w14:paraId="6AABA8F7" w14:textId="0416009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</w:tcPr>
          <w:p w14:paraId="567DFEAB" w14:textId="26499502" w:rsidR="007930EE" w:rsidRPr="00EC6A69" w:rsidRDefault="007930EE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И2.</w:t>
            </w:r>
            <w:r w:rsidR="00033F9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непригодного для проживания жилищного фонда, по II этапу</w:t>
            </w:r>
          </w:p>
        </w:tc>
        <w:tc>
          <w:tcPr>
            <w:tcW w:w="1133" w:type="dxa"/>
            <w:vMerge w:val="restart"/>
          </w:tcPr>
          <w:p w14:paraId="3A9FD863" w14:textId="37497DB1" w:rsidR="007930EE" w:rsidRPr="00EC6A69" w:rsidRDefault="007930EE" w:rsidP="00CB3DE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213D27E2" w14:textId="77777777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2F78E6C3" w:rsidR="007930EE" w:rsidRPr="00681092" w:rsidRDefault="007930EE" w:rsidP="002253A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519 210,19</w:t>
            </w:r>
          </w:p>
        </w:tc>
        <w:tc>
          <w:tcPr>
            <w:tcW w:w="709" w:type="dxa"/>
          </w:tcPr>
          <w:p w14:paraId="3C344D82" w14:textId="08C17BAD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2FF05C75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A68740" w14:textId="2F743B43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3DE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09F59A0" w14:textId="6DF9E9CC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6C3E0B84" w14:textId="1ED0B81C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234CB03B" w14:textId="31DD0D2E" w:rsidR="007930EE" w:rsidRPr="00024701" w:rsidRDefault="007930E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0393514B" w14:textId="65DC30EE" w:rsidR="007930EE" w:rsidRPr="00EC6A69" w:rsidRDefault="007930EE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519 210,19</w:t>
            </w:r>
          </w:p>
        </w:tc>
        <w:tc>
          <w:tcPr>
            <w:tcW w:w="709" w:type="dxa"/>
          </w:tcPr>
          <w:p w14:paraId="501182DA" w14:textId="2B060D22" w:rsidR="007930EE" w:rsidRPr="00EC6A69" w:rsidRDefault="007930EE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4AD5C09C" w14:textId="5F18CE34" w:rsidR="007930EE" w:rsidRPr="00EC6A69" w:rsidRDefault="007930EE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7930EE" w:rsidRPr="00EC6A69" w:rsidRDefault="007930EE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7930EE" w:rsidRPr="00EC6A69" w14:paraId="547B6736" w14:textId="77777777" w:rsidTr="00CB3DE0">
        <w:trPr>
          <w:cantSplit/>
        </w:trPr>
        <w:tc>
          <w:tcPr>
            <w:tcW w:w="566" w:type="dxa"/>
            <w:vMerge/>
          </w:tcPr>
          <w:p w14:paraId="6F469308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01838ECC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F09E960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AC35F" w14:textId="77777777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57ED5ADE" w:rsidR="007930EE" w:rsidRPr="00681092" w:rsidRDefault="007930EE" w:rsidP="00D15A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422 735,48</w:t>
            </w:r>
          </w:p>
        </w:tc>
        <w:tc>
          <w:tcPr>
            <w:tcW w:w="709" w:type="dxa"/>
          </w:tcPr>
          <w:p w14:paraId="5A2096FC" w14:textId="455CCA57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39E356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07494D2" w14:textId="7D6D652F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7E0964" w14:textId="0246519E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53B17A6" w14:textId="7CE1DBFD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706F85F" w14:textId="1423C70E" w:rsidR="007930EE" w:rsidRPr="00736246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2B6DE58" w14:textId="653EF77F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422 735,48</w:t>
            </w:r>
          </w:p>
        </w:tc>
        <w:tc>
          <w:tcPr>
            <w:tcW w:w="709" w:type="dxa"/>
          </w:tcPr>
          <w:p w14:paraId="11732FC7" w14:textId="4F4F7AE7" w:rsidR="007930EE" w:rsidRPr="00EC6A69" w:rsidRDefault="007930EE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0AFCA1EA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394371BD" w14:textId="77777777" w:rsidTr="00CB3DE0">
        <w:trPr>
          <w:cantSplit/>
        </w:trPr>
        <w:tc>
          <w:tcPr>
            <w:tcW w:w="566" w:type="dxa"/>
            <w:vMerge/>
          </w:tcPr>
          <w:p w14:paraId="1D335830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5CAED8C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507F1F8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9653" w14:textId="77777777" w:rsidR="007930EE" w:rsidRPr="00C371E1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3F920C87" w:rsidR="007930EE" w:rsidRPr="00681092" w:rsidRDefault="007930E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96 474,71</w:t>
            </w:r>
          </w:p>
        </w:tc>
        <w:tc>
          <w:tcPr>
            <w:tcW w:w="709" w:type="dxa"/>
          </w:tcPr>
          <w:p w14:paraId="0B8F93A8" w14:textId="2DF5F428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6F7011CB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9B15D63" w14:textId="51AC2A57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587789" w14:textId="5E0CE513" w:rsidR="007930EE" w:rsidRPr="00681092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0EE6AB5" w14:textId="7D9C14A1" w:rsidR="007930EE" w:rsidRPr="00EC6A69" w:rsidRDefault="007930EE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65807479" w14:textId="76FDFB21" w:rsidR="007930EE" w:rsidRPr="00736246" w:rsidRDefault="007930E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14:paraId="0F53A05E" w14:textId="5FF6B974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96 474,71</w:t>
            </w:r>
          </w:p>
        </w:tc>
        <w:tc>
          <w:tcPr>
            <w:tcW w:w="709" w:type="dxa"/>
          </w:tcPr>
          <w:p w14:paraId="0C01342E" w14:textId="14D3DC64" w:rsidR="007930EE" w:rsidRPr="00EC6A69" w:rsidRDefault="007930EE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253B839B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7930EE" w:rsidRPr="00EC6A69" w:rsidRDefault="007930EE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7D4DD116" w14:textId="77777777" w:rsidTr="00CB3DE0">
        <w:trPr>
          <w:cantSplit/>
          <w:trHeight w:val="431"/>
        </w:trPr>
        <w:tc>
          <w:tcPr>
            <w:tcW w:w="566" w:type="dxa"/>
            <w:vMerge/>
          </w:tcPr>
          <w:p w14:paraId="6B6F2C9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230F4B6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CCD0D2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F783A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1D93C98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FF723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5CE96FB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182E896" w14:textId="0362ABF7" w:rsidR="00A806DA" w:rsidRPr="00EC6A69" w:rsidRDefault="00A806DA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218E5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6848F80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5DB2BC" w14:textId="1EB0AB26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52305463" w14:textId="77777777" w:rsidTr="00C471C2">
        <w:trPr>
          <w:cantSplit/>
          <w:trHeight w:val="743"/>
        </w:trPr>
        <w:tc>
          <w:tcPr>
            <w:tcW w:w="566" w:type="dxa"/>
            <w:vMerge w:val="restart"/>
          </w:tcPr>
          <w:p w14:paraId="563C8211" w14:textId="0B25AAB5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2" w:type="dxa"/>
            <w:vMerge w:val="restart"/>
          </w:tcPr>
          <w:p w14:paraId="6A56B884" w14:textId="6FE6337B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И2.</w:t>
            </w:r>
            <w:r w:rsidR="00033F96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непригодного для проживания жилищного фонда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путем выплаты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выкупной стоимости за изымаемое жилое помещение, а также предоставление субсидий гражданам, переселяемым из аварийного жилищного фонда, на приобретение (строительство) жилых помещений</w:t>
            </w:r>
            <w:r w:rsidRPr="00280643">
              <w:rPr>
                <w:rFonts w:eastAsia="Times New Roman" w:cs="Times New Roman"/>
                <w:sz w:val="20"/>
                <w:szCs w:val="20"/>
                <w:lang w:eastAsia="ru-RU"/>
              </w:rPr>
              <w:t>, по II этапу</w:t>
            </w:r>
          </w:p>
        </w:tc>
        <w:tc>
          <w:tcPr>
            <w:tcW w:w="1133" w:type="dxa"/>
            <w:vMerge w:val="restart"/>
          </w:tcPr>
          <w:p w14:paraId="1BF180D7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26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1AE86644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0A7EDFB" w14:textId="0C221A89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74 648,58</w:t>
            </w:r>
          </w:p>
        </w:tc>
        <w:tc>
          <w:tcPr>
            <w:tcW w:w="709" w:type="dxa"/>
          </w:tcPr>
          <w:p w14:paraId="2561A7A1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E687F1E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9E15B24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B3DE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5726B96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1964EE8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1E5DE5F6" w14:textId="77777777" w:rsidR="007930EE" w:rsidRPr="00024701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74 648,58</w:t>
            </w:r>
          </w:p>
        </w:tc>
        <w:tc>
          <w:tcPr>
            <w:tcW w:w="850" w:type="dxa"/>
          </w:tcPr>
          <w:p w14:paraId="134BD361" w14:textId="13DE4452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EF8EEE0" w14:textId="77777777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0EF101E3" w14:textId="77777777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4EE21444" w14:textId="77777777" w:rsidR="007930EE" w:rsidRPr="00EC6A69" w:rsidRDefault="007930EE" w:rsidP="00C471C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7930EE" w:rsidRPr="00EC6A69" w14:paraId="7D09CAEB" w14:textId="77777777" w:rsidTr="00C471C2">
        <w:trPr>
          <w:cantSplit/>
        </w:trPr>
        <w:tc>
          <w:tcPr>
            <w:tcW w:w="566" w:type="dxa"/>
            <w:vMerge/>
          </w:tcPr>
          <w:p w14:paraId="23223215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71E81A7B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04CCC21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3FF9F6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2A652278" w14:textId="013EC06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74 315,52</w:t>
            </w:r>
          </w:p>
        </w:tc>
        <w:tc>
          <w:tcPr>
            <w:tcW w:w="709" w:type="dxa"/>
          </w:tcPr>
          <w:p w14:paraId="04E80FBE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5B09DB3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739EC646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D295B00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694D450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36A1B537" w14:textId="77777777" w:rsidR="007930EE" w:rsidRPr="00736246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74 315,52</w:t>
            </w:r>
          </w:p>
        </w:tc>
        <w:tc>
          <w:tcPr>
            <w:tcW w:w="850" w:type="dxa"/>
          </w:tcPr>
          <w:p w14:paraId="74B1C2A3" w14:textId="4A0FA5F0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284E83D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FCE641F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BE3CBAF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7930EE" w:rsidRPr="00EC6A69" w14:paraId="05FE952A" w14:textId="77777777" w:rsidTr="00C471C2">
        <w:trPr>
          <w:cantSplit/>
        </w:trPr>
        <w:tc>
          <w:tcPr>
            <w:tcW w:w="566" w:type="dxa"/>
            <w:vMerge/>
          </w:tcPr>
          <w:p w14:paraId="7BBA8B1C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3E77A709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F4FD379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707C36" w14:textId="77777777" w:rsidR="007930EE" w:rsidRPr="00C371E1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A59E062" w14:textId="31F0A06A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333,06</w:t>
            </w:r>
          </w:p>
        </w:tc>
        <w:tc>
          <w:tcPr>
            <w:tcW w:w="709" w:type="dxa"/>
          </w:tcPr>
          <w:p w14:paraId="1501F55B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72E712A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BB80837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E1FE30B" w14:textId="77777777" w:rsidR="007930EE" w:rsidRPr="00681092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8561EA0" w14:textId="77777777" w:rsidR="007930EE" w:rsidRPr="00EC6A69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14:paraId="0AE19CBF" w14:textId="77777777" w:rsidR="007930EE" w:rsidRPr="00736246" w:rsidRDefault="007930EE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333,06</w:t>
            </w:r>
          </w:p>
        </w:tc>
        <w:tc>
          <w:tcPr>
            <w:tcW w:w="850" w:type="dxa"/>
          </w:tcPr>
          <w:p w14:paraId="0C46FCD8" w14:textId="046C83B1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A5E9974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A31A659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C76872" w14:textId="77777777" w:rsidR="007930EE" w:rsidRPr="00EC6A69" w:rsidRDefault="007930EE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280643" w:rsidRPr="00EC6A69" w14:paraId="0B80D278" w14:textId="77777777" w:rsidTr="00C471C2">
        <w:trPr>
          <w:cantSplit/>
          <w:trHeight w:val="431"/>
        </w:trPr>
        <w:tc>
          <w:tcPr>
            <w:tcW w:w="566" w:type="dxa"/>
            <w:vMerge/>
          </w:tcPr>
          <w:p w14:paraId="12AD2522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77637A9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D420B9D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448DF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A2C6DC0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57B3750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305ECBB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65576E5D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631DAF9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1AA5F98" w14:textId="77777777" w:rsidR="00280643" w:rsidRPr="00EC6A69" w:rsidRDefault="00280643" w:rsidP="00C471C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0221B98" w14:textId="77777777" w:rsidR="00280643" w:rsidRPr="00EC6A69" w:rsidRDefault="00280643" w:rsidP="00C471C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78953BC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5E3202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AB140FC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D16B740" w14:textId="77777777" w:rsidR="00280643" w:rsidRPr="00EC6A69" w:rsidRDefault="00280643" w:rsidP="00C471C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32F95CF" w14:textId="77777777" w:rsidR="00402704" w:rsidRDefault="00402704" w:rsidP="00402704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B813BB">
      <w:pPr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6075F" w14:textId="77777777" w:rsidR="00E9798E" w:rsidRDefault="00E9798E" w:rsidP="00936B5F">
      <w:r>
        <w:separator/>
      </w:r>
    </w:p>
  </w:endnote>
  <w:endnote w:type="continuationSeparator" w:id="0">
    <w:p w14:paraId="59E2438D" w14:textId="77777777" w:rsidR="00E9798E" w:rsidRDefault="00E9798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A0B9" w14:textId="77777777" w:rsidR="00E9798E" w:rsidRDefault="00E9798E" w:rsidP="00936B5F">
      <w:r>
        <w:separator/>
      </w:r>
    </w:p>
  </w:footnote>
  <w:footnote w:type="continuationSeparator" w:id="0">
    <w:p w14:paraId="747A5A50" w14:textId="77777777" w:rsidR="00E9798E" w:rsidRDefault="00E9798E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52144"/>
      <w:docPartObj>
        <w:docPartGallery w:val="Page Numbers (Top of Page)"/>
        <w:docPartUnique/>
      </w:docPartObj>
    </w:sdtPr>
    <w:sdtContent>
      <w:p w14:paraId="1090D959" w14:textId="77777777" w:rsidR="000D573D" w:rsidRDefault="000D57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0D573D" w:rsidRDefault="000D57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362284">
    <w:abstractNumId w:val="2"/>
  </w:num>
  <w:num w:numId="2" w16cid:durableId="360934862">
    <w:abstractNumId w:val="1"/>
  </w:num>
  <w:num w:numId="3" w16cid:durableId="17720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AD"/>
    <w:rsid w:val="000007C3"/>
    <w:rsid w:val="00000823"/>
    <w:rsid w:val="00002CB3"/>
    <w:rsid w:val="00002D80"/>
    <w:rsid w:val="00003421"/>
    <w:rsid w:val="000039C7"/>
    <w:rsid w:val="000070D1"/>
    <w:rsid w:val="00013A77"/>
    <w:rsid w:val="00022D07"/>
    <w:rsid w:val="00024701"/>
    <w:rsid w:val="00025391"/>
    <w:rsid w:val="00026BB0"/>
    <w:rsid w:val="00027C72"/>
    <w:rsid w:val="00032CBE"/>
    <w:rsid w:val="00033F96"/>
    <w:rsid w:val="000347F7"/>
    <w:rsid w:val="00036F57"/>
    <w:rsid w:val="00040C32"/>
    <w:rsid w:val="00040EF9"/>
    <w:rsid w:val="00046F7D"/>
    <w:rsid w:val="00050111"/>
    <w:rsid w:val="00051A9B"/>
    <w:rsid w:val="00052689"/>
    <w:rsid w:val="0005785E"/>
    <w:rsid w:val="00063F2D"/>
    <w:rsid w:val="00064A16"/>
    <w:rsid w:val="000666EE"/>
    <w:rsid w:val="00067FEB"/>
    <w:rsid w:val="00074177"/>
    <w:rsid w:val="00074A66"/>
    <w:rsid w:val="00074D64"/>
    <w:rsid w:val="000815D3"/>
    <w:rsid w:val="0008355D"/>
    <w:rsid w:val="00083C3E"/>
    <w:rsid w:val="0008773B"/>
    <w:rsid w:val="00095364"/>
    <w:rsid w:val="00096901"/>
    <w:rsid w:val="000A3745"/>
    <w:rsid w:val="000A6CB8"/>
    <w:rsid w:val="000B047E"/>
    <w:rsid w:val="000B2126"/>
    <w:rsid w:val="000B7DEE"/>
    <w:rsid w:val="000C120E"/>
    <w:rsid w:val="000D1767"/>
    <w:rsid w:val="000D573D"/>
    <w:rsid w:val="000D7244"/>
    <w:rsid w:val="000D7F06"/>
    <w:rsid w:val="000E0F3A"/>
    <w:rsid w:val="000E107A"/>
    <w:rsid w:val="000E3C91"/>
    <w:rsid w:val="000E44FE"/>
    <w:rsid w:val="000E6851"/>
    <w:rsid w:val="000F2683"/>
    <w:rsid w:val="000F2689"/>
    <w:rsid w:val="000F3EDD"/>
    <w:rsid w:val="000F64A8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6010"/>
    <w:rsid w:val="0012795F"/>
    <w:rsid w:val="00127BA5"/>
    <w:rsid w:val="00132AC1"/>
    <w:rsid w:val="00135190"/>
    <w:rsid w:val="001368BA"/>
    <w:rsid w:val="001375BF"/>
    <w:rsid w:val="00144EEE"/>
    <w:rsid w:val="0014589B"/>
    <w:rsid w:val="00145DD9"/>
    <w:rsid w:val="001514F3"/>
    <w:rsid w:val="00151C33"/>
    <w:rsid w:val="00152D56"/>
    <w:rsid w:val="00157149"/>
    <w:rsid w:val="001630DB"/>
    <w:rsid w:val="0016321F"/>
    <w:rsid w:val="001711A6"/>
    <w:rsid w:val="0017233E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109B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3CCE"/>
    <w:rsid w:val="00205B7B"/>
    <w:rsid w:val="00211022"/>
    <w:rsid w:val="0021240C"/>
    <w:rsid w:val="0021577A"/>
    <w:rsid w:val="00216F71"/>
    <w:rsid w:val="00217EAE"/>
    <w:rsid w:val="002208C8"/>
    <w:rsid w:val="00222D65"/>
    <w:rsid w:val="00223EA4"/>
    <w:rsid w:val="002253A0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0643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2902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17D95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91E94"/>
    <w:rsid w:val="00394C7E"/>
    <w:rsid w:val="003A04C4"/>
    <w:rsid w:val="003A1AF8"/>
    <w:rsid w:val="003A6BD5"/>
    <w:rsid w:val="003B3B35"/>
    <w:rsid w:val="003B4E41"/>
    <w:rsid w:val="003B7B27"/>
    <w:rsid w:val="003C0907"/>
    <w:rsid w:val="003C0C32"/>
    <w:rsid w:val="003C504E"/>
    <w:rsid w:val="003C5CC9"/>
    <w:rsid w:val="003C5CFD"/>
    <w:rsid w:val="003C692C"/>
    <w:rsid w:val="003C6B10"/>
    <w:rsid w:val="003C7B77"/>
    <w:rsid w:val="003D1B98"/>
    <w:rsid w:val="003D1E9F"/>
    <w:rsid w:val="003D2516"/>
    <w:rsid w:val="003D4080"/>
    <w:rsid w:val="003D57A5"/>
    <w:rsid w:val="003D76C8"/>
    <w:rsid w:val="003E149A"/>
    <w:rsid w:val="003E2038"/>
    <w:rsid w:val="003E2662"/>
    <w:rsid w:val="003F1ABD"/>
    <w:rsid w:val="003F1F6C"/>
    <w:rsid w:val="003F49BD"/>
    <w:rsid w:val="003F4A12"/>
    <w:rsid w:val="00402704"/>
    <w:rsid w:val="00405848"/>
    <w:rsid w:val="00410D69"/>
    <w:rsid w:val="00411BAE"/>
    <w:rsid w:val="00412A01"/>
    <w:rsid w:val="00412F9D"/>
    <w:rsid w:val="004155D5"/>
    <w:rsid w:val="00420C3B"/>
    <w:rsid w:val="0042635C"/>
    <w:rsid w:val="00427260"/>
    <w:rsid w:val="00430AEF"/>
    <w:rsid w:val="00442102"/>
    <w:rsid w:val="00446682"/>
    <w:rsid w:val="0045079C"/>
    <w:rsid w:val="004540E3"/>
    <w:rsid w:val="00454E53"/>
    <w:rsid w:val="00456D9C"/>
    <w:rsid w:val="00456FDB"/>
    <w:rsid w:val="0046086B"/>
    <w:rsid w:val="0046160B"/>
    <w:rsid w:val="00462A90"/>
    <w:rsid w:val="00463355"/>
    <w:rsid w:val="0046523C"/>
    <w:rsid w:val="00471981"/>
    <w:rsid w:val="00472503"/>
    <w:rsid w:val="00472553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5BF4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5FA1"/>
    <w:rsid w:val="004F629B"/>
    <w:rsid w:val="004F78C4"/>
    <w:rsid w:val="00504E19"/>
    <w:rsid w:val="00504F10"/>
    <w:rsid w:val="00505964"/>
    <w:rsid w:val="005079D7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80408"/>
    <w:rsid w:val="00590865"/>
    <w:rsid w:val="00591AF9"/>
    <w:rsid w:val="00591F2B"/>
    <w:rsid w:val="00592234"/>
    <w:rsid w:val="00594B7A"/>
    <w:rsid w:val="00595B8C"/>
    <w:rsid w:val="0059703D"/>
    <w:rsid w:val="00597874"/>
    <w:rsid w:val="005A133E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4FC6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338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19B2"/>
    <w:rsid w:val="006B23F3"/>
    <w:rsid w:val="006B269F"/>
    <w:rsid w:val="006B58DD"/>
    <w:rsid w:val="006B63F3"/>
    <w:rsid w:val="006B785E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1954"/>
    <w:rsid w:val="007322EB"/>
    <w:rsid w:val="00733D9A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3BCF"/>
    <w:rsid w:val="00765130"/>
    <w:rsid w:val="007704D8"/>
    <w:rsid w:val="007726E2"/>
    <w:rsid w:val="00772DD8"/>
    <w:rsid w:val="00773FAB"/>
    <w:rsid w:val="0077468B"/>
    <w:rsid w:val="00777389"/>
    <w:rsid w:val="0077748F"/>
    <w:rsid w:val="0078222F"/>
    <w:rsid w:val="0078494F"/>
    <w:rsid w:val="007930EE"/>
    <w:rsid w:val="007941EF"/>
    <w:rsid w:val="00794DB5"/>
    <w:rsid w:val="00794F82"/>
    <w:rsid w:val="007965E4"/>
    <w:rsid w:val="00796FFB"/>
    <w:rsid w:val="007A48E8"/>
    <w:rsid w:val="007A6589"/>
    <w:rsid w:val="007B2482"/>
    <w:rsid w:val="007B3DD6"/>
    <w:rsid w:val="007C1BEE"/>
    <w:rsid w:val="007C4B06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47E11"/>
    <w:rsid w:val="00851A14"/>
    <w:rsid w:val="0085520B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18DE"/>
    <w:rsid w:val="008B3E8D"/>
    <w:rsid w:val="008B49A3"/>
    <w:rsid w:val="008B56EE"/>
    <w:rsid w:val="008B7D18"/>
    <w:rsid w:val="008C03A3"/>
    <w:rsid w:val="008C15CF"/>
    <w:rsid w:val="008C17D0"/>
    <w:rsid w:val="008C41A8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8F7DB5"/>
    <w:rsid w:val="0090260C"/>
    <w:rsid w:val="00904513"/>
    <w:rsid w:val="00904B35"/>
    <w:rsid w:val="0091055D"/>
    <w:rsid w:val="00912B08"/>
    <w:rsid w:val="00917C8B"/>
    <w:rsid w:val="00923BFE"/>
    <w:rsid w:val="009253BB"/>
    <w:rsid w:val="00925742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45C"/>
    <w:rsid w:val="00960990"/>
    <w:rsid w:val="00961808"/>
    <w:rsid w:val="00965790"/>
    <w:rsid w:val="00965F5E"/>
    <w:rsid w:val="00966BF4"/>
    <w:rsid w:val="00971ECF"/>
    <w:rsid w:val="0097590B"/>
    <w:rsid w:val="0098108E"/>
    <w:rsid w:val="009851AF"/>
    <w:rsid w:val="009903F0"/>
    <w:rsid w:val="00990FC9"/>
    <w:rsid w:val="00991C5A"/>
    <w:rsid w:val="009974FF"/>
    <w:rsid w:val="009A14E5"/>
    <w:rsid w:val="009A430C"/>
    <w:rsid w:val="009B193C"/>
    <w:rsid w:val="009B7055"/>
    <w:rsid w:val="009C2E2D"/>
    <w:rsid w:val="009C2FB0"/>
    <w:rsid w:val="009C491B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9F7ED3"/>
    <w:rsid w:val="00A06741"/>
    <w:rsid w:val="00A12508"/>
    <w:rsid w:val="00A15AF2"/>
    <w:rsid w:val="00A15E6A"/>
    <w:rsid w:val="00A17C0E"/>
    <w:rsid w:val="00A218CC"/>
    <w:rsid w:val="00A234E1"/>
    <w:rsid w:val="00A24F4C"/>
    <w:rsid w:val="00A25F3B"/>
    <w:rsid w:val="00A30C06"/>
    <w:rsid w:val="00A32E3B"/>
    <w:rsid w:val="00A35AA4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1D8D"/>
    <w:rsid w:val="00A649A0"/>
    <w:rsid w:val="00A7205A"/>
    <w:rsid w:val="00A735FA"/>
    <w:rsid w:val="00A73AC5"/>
    <w:rsid w:val="00A73F53"/>
    <w:rsid w:val="00A806DA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E4E1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4672B"/>
    <w:rsid w:val="00B50370"/>
    <w:rsid w:val="00B50571"/>
    <w:rsid w:val="00B507CC"/>
    <w:rsid w:val="00B507F3"/>
    <w:rsid w:val="00B5460B"/>
    <w:rsid w:val="00B60760"/>
    <w:rsid w:val="00B614E7"/>
    <w:rsid w:val="00B65C29"/>
    <w:rsid w:val="00B67087"/>
    <w:rsid w:val="00B67296"/>
    <w:rsid w:val="00B7067C"/>
    <w:rsid w:val="00B72097"/>
    <w:rsid w:val="00B72369"/>
    <w:rsid w:val="00B736E4"/>
    <w:rsid w:val="00B74171"/>
    <w:rsid w:val="00B745AD"/>
    <w:rsid w:val="00B7529A"/>
    <w:rsid w:val="00B813BB"/>
    <w:rsid w:val="00B82105"/>
    <w:rsid w:val="00B84932"/>
    <w:rsid w:val="00B84ECE"/>
    <w:rsid w:val="00B94017"/>
    <w:rsid w:val="00B9529A"/>
    <w:rsid w:val="00B9638C"/>
    <w:rsid w:val="00BA49B4"/>
    <w:rsid w:val="00BA4DEF"/>
    <w:rsid w:val="00BA61EF"/>
    <w:rsid w:val="00BA7643"/>
    <w:rsid w:val="00BB035D"/>
    <w:rsid w:val="00BB14E3"/>
    <w:rsid w:val="00BB349B"/>
    <w:rsid w:val="00BB6A5D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5151"/>
    <w:rsid w:val="00C26881"/>
    <w:rsid w:val="00C32B8F"/>
    <w:rsid w:val="00C371E1"/>
    <w:rsid w:val="00C377BC"/>
    <w:rsid w:val="00C469A7"/>
    <w:rsid w:val="00C472D9"/>
    <w:rsid w:val="00C50631"/>
    <w:rsid w:val="00C524D9"/>
    <w:rsid w:val="00C536E2"/>
    <w:rsid w:val="00C6205B"/>
    <w:rsid w:val="00C6365D"/>
    <w:rsid w:val="00C66049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055F"/>
    <w:rsid w:val="00CA3F51"/>
    <w:rsid w:val="00CA75FD"/>
    <w:rsid w:val="00CB014E"/>
    <w:rsid w:val="00CB3293"/>
    <w:rsid w:val="00CB3DE0"/>
    <w:rsid w:val="00CB75B0"/>
    <w:rsid w:val="00CC26AD"/>
    <w:rsid w:val="00CC4118"/>
    <w:rsid w:val="00CC44E0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1B62"/>
    <w:rsid w:val="00D07247"/>
    <w:rsid w:val="00D1056D"/>
    <w:rsid w:val="00D15A5F"/>
    <w:rsid w:val="00D22281"/>
    <w:rsid w:val="00D25CFC"/>
    <w:rsid w:val="00D43C69"/>
    <w:rsid w:val="00D47172"/>
    <w:rsid w:val="00D4733F"/>
    <w:rsid w:val="00D5150F"/>
    <w:rsid w:val="00D51EA7"/>
    <w:rsid w:val="00D5260C"/>
    <w:rsid w:val="00D543FE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B99"/>
    <w:rsid w:val="00E02DE9"/>
    <w:rsid w:val="00E05032"/>
    <w:rsid w:val="00E05C19"/>
    <w:rsid w:val="00E062FC"/>
    <w:rsid w:val="00E1073F"/>
    <w:rsid w:val="00E11797"/>
    <w:rsid w:val="00E127D9"/>
    <w:rsid w:val="00E12D59"/>
    <w:rsid w:val="00E12F7F"/>
    <w:rsid w:val="00E17327"/>
    <w:rsid w:val="00E20E00"/>
    <w:rsid w:val="00E305A4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3D7"/>
    <w:rsid w:val="00E75B27"/>
    <w:rsid w:val="00E80EDE"/>
    <w:rsid w:val="00E82C5F"/>
    <w:rsid w:val="00E836F3"/>
    <w:rsid w:val="00E86FEC"/>
    <w:rsid w:val="00E9798E"/>
    <w:rsid w:val="00EA0454"/>
    <w:rsid w:val="00EA0957"/>
    <w:rsid w:val="00EA11A9"/>
    <w:rsid w:val="00EA1EB1"/>
    <w:rsid w:val="00EA36A0"/>
    <w:rsid w:val="00EA3EA6"/>
    <w:rsid w:val="00EA4FED"/>
    <w:rsid w:val="00EA5AA8"/>
    <w:rsid w:val="00EB03CB"/>
    <w:rsid w:val="00EB38E8"/>
    <w:rsid w:val="00EB438D"/>
    <w:rsid w:val="00EC3A93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3B36"/>
    <w:rsid w:val="00F045C9"/>
    <w:rsid w:val="00F05E50"/>
    <w:rsid w:val="00F05EC6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4C28"/>
    <w:rsid w:val="00F77BD2"/>
    <w:rsid w:val="00F81EB3"/>
    <w:rsid w:val="00F8503E"/>
    <w:rsid w:val="00F851DF"/>
    <w:rsid w:val="00F8707E"/>
    <w:rsid w:val="00F871B9"/>
    <w:rsid w:val="00F91E2B"/>
    <w:rsid w:val="00F92C04"/>
    <w:rsid w:val="00F93F26"/>
    <w:rsid w:val="00F94CA5"/>
    <w:rsid w:val="00FA1121"/>
    <w:rsid w:val="00FA2184"/>
    <w:rsid w:val="00FA2AB7"/>
    <w:rsid w:val="00FA301C"/>
    <w:rsid w:val="00FA586C"/>
    <w:rsid w:val="00FA744D"/>
    <w:rsid w:val="00FB05E6"/>
    <w:rsid w:val="00FB1C41"/>
    <w:rsid w:val="00FC3E20"/>
    <w:rsid w:val="00FC4593"/>
    <w:rsid w:val="00FC4B97"/>
    <w:rsid w:val="00FC506C"/>
    <w:rsid w:val="00FC566D"/>
    <w:rsid w:val="00FC707D"/>
    <w:rsid w:val="00FD0269"/>
    <w:rsid w:val="00FD5359"/>
    <w:rsid w:val="00FE0AF5"/>
    <w:rsid w:val="00FE43C3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  <w15:docId w15:val="{6A1DE065-0C63-4C26-9E76-B4A11CCD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4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70A54-C900-440A-BB37-CD54AE24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3</cp:revision>
  <cp:lastPrinted>2026-07-16T07:07:00Z</cp:lastPrinted>
  <dcterms:created xsi:type="dcterms:W3CDTF">2026-07-16T07:08:00Z</dcterms:created>
  <dcterms:modified xsi:type="dcterms:W3CDTF">2026-07-16T08:18:00Z</dcterms:modified>
</cp:coreProperties>
</file>