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казание</w:t>
      </w:r>
      <w:proofErr w:type="spellEnd"/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00F6B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00F6B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</w:t>
      </w:r>
      <w:proofErr w:type="spellStart"/>
      <w:r w:rsidRPr="002E3630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2E3630">
        <w:rPr>
          <w:rFonts w:ascii="Times New Roman" w:hAnsi="Times New Roman"/>
          <w:sz w:val="28"/>
          <w:szCs w:val="28"/>
        </w:rPr>
        <w:t>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</w:t>
      </w:r>
      <w:proofErr w:type="spellEnd"/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</w:t>
      </w:r>
      <w:proofErr w:type="gramStart"/>
      <w:r w:rsidR="00866005" w:rsidRPr="002E3630">
        <w:rPr>
          <w:rFonts w:ascii="Times New Roman" w:hAnsi="Times New Roman"/>
          <w:sz w:val="28"/>
          <w:szCs w:val="28"/>
        </w:rPr>
        <w:t>например</w:t>
      </w:r>
      <w:proofErr w:type="gramEnd"/>
      <w:r w:rsidR="00866005" w:rsidRPr="002E3630">
        <w:rPr>
          <w:rFonts w:ascii="Times New Roman" w:hAnsi="Times New Roman"/>
          <w:sz w:val="28"/>
          <w:szCs w:val="28"/>
        </w:rPr>
        <w:t xml:space="preserve">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 xml:space="preserve">равен или </w:t>
      </w:r>
      <w:proofErr w:type="gramStart"/>
      <w:r w:rsidR="006D784E">
        <w:rPr>
          <w:rFonts w:ascii="Times New Roman" w:hAnsi="Times New Roman"/>
          <w:sz w:val="28"/>
        </w:rPr>
        <w:t>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proofErr w:type="gramEnd"/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</w:t>
      </w:r>
      <w:proofErr w:type="gramStart"/>
      <w:r w:rsidR="006D784E">
        <w:rPr>
          <w:rFonts w:ascii="Times New Roman" w:hAnsi="Times New Roman"/>
          <w:sz w:val="28"/>
        </w:rPr>
        <w:t xml:space="preserve">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proofErr w:type="gramEnd"/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016F6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16F61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</w:t>
      </w:r>
      <w:proofErr w:type="spellStart"/>
      <w:r w:rsidRPr="00016F61">
        <w:rPr>
          <w:rFonts w:ascii="Times New Roman" w:hAnsi="Times New Roman"/>
          <w:sz w:val="28"/>
          <w:szCs w:val="28"/>
        </w:rPr>
        <w:t>Яндекс.Деньги</w:t>
      </w:r>
      <w:proofErr w:type="spellEnd"/>
      <w:r w:rsidRPr="00016F61">
        <w:rPr>
          <w:rFonts w:ascii="Times New Roman" w:hAnsi="Times New Roman"/>
          <w:sz w:val="28"/>
          <w:szCs w:val="28"/>
        </w:rPr>
        <w:t>», «</w:t>
      </w:r>
      <w:proofErr w:type="spellStart"/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, кредитором или </w:t>
      </w:r>
      <w:proofErr w:type="gramStart"/>
      <w:r w:rsidRPr="00E00F6B">
        <w:rPr>
          <w:rFonts w:ascii="Times New Roman" w:hAnsi="Times New Roman"/>
          <w:sz w:val="28"/>
          <w:szCs w:val="28"/>
        </w:rPr>
        <w:t>должником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подраздел также подлежит заполнению в случае, если лицо, в отношении которого представляются сведения, является </w:t>
      </w:r>
      <w:proofErr w:type="spellStart"/>
      <w:r>
        <w:rPr>
          <w:rFonts w:ascii="Times New Roman" w:hAnsi="Times New Roman"/>
          <w:sz w:val="28"/>
          <w:szCs w:val="28"/>
        </w:rPr>
        <w:t>созаемщиком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FC" w:rsidRDefault="00C203FC" w:rsidP="00204BB5">
      <w:r>
        <w:separator/>
      </w:r>
    </w:p>
  </w:endnote>
  <w:endnote w:type="continuationSeparator" w:id="0">
    <w:p w:rsidR="00C203FC" w:rsidRDefault="00C203FC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FC" w:rsidRDefault="00C203FC" w:rsidP="00204BB5">
      <w:r>
        <w:separator/>
      </w:r>
    </w:p>
  </w:footnote>
  <w:footnote w:type="continuationSeparator" w:id="0">
    <w:p w:rsidR="00C203FC" w:rsidRDefault="00C203FC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102001">
      <w:rPr>
        <w:rFonts w:ascii="Times New Roman" w:hAnsi="Times New Roman"/>
        <w:noProof/>
        <w:sz w:val="28"/>
        <w:szCs w:val="28"/>
      </w:rPr>
      <w:t>43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0ED11-1030-4F24-9C40-C15D663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C17B33A-FEDF-4A21-A488-2D407A5F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Савельева Виктория Борисовна</cp:lastModifiedBy>
  <cp:revision>3</cp:revision>
  <cp:lastPrinted>2018-12-26T07:50:00Z</cp:lastPrinted>
  <dcterms:created xsi:type="dcterms:W3CDTF">2018-12-28T06:19:00Z</dcterms:created>
  <dcterms:modified xsi:type="dcterms:W3CDTF">2018-12-28T06:19:00Z</dcterms:modified>
</cp:coreProperties>
</file>