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АЗГЭ-КАШ/24-5368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50:37:0020412:793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1 506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деревня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0010060026510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08.11.2024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21000004710000014712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00300060120265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B4A8686D04E1C98D79BE7ACA3A9D166D5C119815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Воронина Ольга Николаевна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05.11.2024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29.01.2026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B4A8686D04E1C98D79BE7ACA3A9D166D5C119815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Воронина Ольга Николаевна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05.11.2024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29.01.2026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 директора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Воронина Ольга Николаевна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